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Aktenstück 06 — Art. 11 KI-VO: Technische Dokumentation (Anhang IV)</w:t>
      </w:r>
    </w:p>
    <w:p>
      <w:pPr>
        <w:jc w:val="left"/>
      </w:pPr>
      <w:r>
        <w:rPr>
          <w:b/>
        </w:rPr>
        <w:t>Aktenzeichen:</w:t>
      </w:r>
      <w:r>
        <w:t xml:space="preserve"> 2026-V-0427</w:t>
      </w:r>
    </w:p>
    <w:p>
      <w:pPr>
        <w:jc w:val="left"/>
      </w:pPr>
      <w:r>
        <w:rPr>
          <w:b/>
        </w:rPr>
        <w:t>Erstellt:</w:t>
      </w:r>
      <w:r>
        <w:t xml:space="preserve"> 25.03.2026</w:t>
      </w:r>
    </w:p>
    <w:p>
      <w:pPr>
        <w:jc w:val="left"/>
      </w:pPr>
      <w:r>
        <w:rPr>
          <w:b/>
        </w:rPr>
        <w:t>Bearbeitung:</w:t>
      </w:r>
      <w:r>
        <w:t xml:space="preserve"> RA Dr. Mark Roosendaal</w:t>
      </w:r>
    </w:p>
    <w:p>
      <w:pPr>
        <w:jc w:val="left"/>
      </w:pPr>
      <w:r>
        <w:rPr>
          <w:b/>
        </w:rPr>
        <w:t>Rechtsgrundlage:</w:t>
      </w:r>
      <w:r>
        <w:t xml:space="preserve"> Art. 11 KI-VO (EU) 2024/1689; Anhang IV KI-VO</w:t>
      </w:r>
    </w:p>
    <w:p/>
    <w:p>
      <w:pPr>
        <w:pStyle w:val="Heading2"/>
      </w:pPr>
      <w:r>
        <w:rPr>
          <w:rFonts w:ascii="Times New Roman" w:hAnsi="Times New Roman"/>
        </w:rPr>
        <w:t>1. Anforderungsüberblick</w:t>
      </w:r>
    </w:p>
    <w:p>
      <w:pPr>
        <w:jc w:val="left"/>
      </w:pPr>
      <w:r>
        <w:t>Art. 11 Abs. 1 KI-VO verpflichtet Anbieter von Hochrisiko-KI-Systemen, vor dem Inverkehrbringen eine technische Dokumentation zu erstellen und fortzuführen. Der Mindestinhalt ergibt sich aus Anhang IV KI-VO. Die Dokumentation muss Marktüberwachungsbehörden eine Beurteilung der Konformität ermöglichen.</w:t>
      </w:r>
    </w:p>
    <w:p/>
    <w:p>
      <w:pPr>
        <w:pStyle w:val="Heading2"/>
      </w:pPr>
      <w:r>
        <w:rPr>
          <w:rFonts w:ascii="Times New Roman" w:hAnsi="Times New Roman"/>
        </w:rPr>
        <w:t>2. Anhang-IV-Checkliste MedAssist v4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Anforderung Anhang IV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Dokument Mandant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Vollständigkeit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Befund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1. Allgemeine Systembeschreibung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MA-TECH-DOC-2024-v4.2.3, Kap. 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Teilweise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Einsatzszenario vorhanden; GPAI-Komponente nicht beschrieben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2. Detaillierte Beschreibung der Elemente des Systems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MA-TECH-DOC-2024-v4.2.3, Kap. 2–4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Teilweise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NLU beschrieben; Dispositionsmodul nur rudimentär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3. Überwachung, Funktion und Kontrolle des Systems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Kein separates Dokument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Fehlend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Art. 14-Elemente fehlen gänzlich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4. Beschreibung von Änderungen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Change-Log MA-TECH-2023–2025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Teilweise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Kein Verfahren für sicherheitsrelevante Änderungen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5. Risikomanagementsystem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MA-RISK-2024-01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Unvollständig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S. Aktenstück 04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6. Beschreibung der relevanten Daten (Training, Validierung, Test)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Datensatzbeschreibung MA-DATA-2023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Unvollständig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Kein Repräsentativitätsnachweis (s. Aktenstück 05)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7. Beschreibung der verwendeten Metriken und Schwellenwerte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MA-EVAL-2024-03, Anhang B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Vorhanden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Metriken sind dokumentiert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8. Beschreibung der menschlichen Aufsicht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Benutzerhandbuch v4.1 (Abschn. 7)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Unvollständig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Aufsichtsmechanismus konzeptionell, nicht implementiert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9. Beschreibung der Validierungsmaßnahmen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MA-EVAL-2024-03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Teilweise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Fehlende klinische Validierungsstudie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10. Logbuch/Aufzeichnungen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ATM-Spezifikation v2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Teilweise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Datenhaltungskonzept lückenhaft (s. Aktenstück 07)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11. Informationen für Nutzer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Benutzerhandbuch v4.1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Teilweise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Fehlende Erklärbarkeits-Informationen</w:t>
            </w:r>
          </w:p>
        </w:tc>
      </w:tr>
    </w:tbl>
    <w:p>
      <w:pPr>
        <w:jc w:val="left"/>
      </w:pPr>
      <w:r>
        <w:rPr>
          <w:b/>
        </w:rPr>
        <w:t>Gesamtergebnis:</w:t>
      </w:r>
      <w:r>
        <w:t xml:space="preserve"> Von 11 Anhang-IV-Kategorien: 1 vollständig erfüllt, 6 teilweise erfüllt, 4 fehlend oder unvollständig.</w:t>
      </w:r>
    </w:p>
    <w:p/>
    <w:p>
      <w:pPr>
        <w:pStyle w:val="Heading2"/>
      </w:pPr>
      <w:r>
        <w:rPr>
          <w:rFonts w:ascii="Times New Roman" w:hAnsi="Times New Roman"/>
        </w:rPr>
        <w:t>3. Kritische Lücken</w:t>
      </w:r>
    </w:p>
    <w:p>
      <w:pPr>
        <w:pStyle w:val="Heading3"/>
      </w:pPr>
      <w:r>
        <w:rPr>
          <w:rFonts w:ascii="Times New Roman" w:hAnsi="Times New Roman"/>
        </w:rPr>
        <w:t>3.1 GPAI-Basiskomponente nicht dokumentiert (Anhang IV Nr. 1, 2)</w:t>
      </w:r>
    </w:p>
    <w:p>
      <w:pPr>
        <w:jc w:val="left"/>
      </w:pPr>
      <w:r>
        <w:t>Die technische Dokumentation beschreibt MedAssist-LLM-Core v4 als eigenentwickeltes Modul, ohne die Llama-3.1-Basisarchitektur und den Fine-Tuning-Prozess offenzulegen. Dies ist aus rechtlicher Sicht unzureichend:</w:t>
      </w:r>
    </w:p>
    <w:p>
      <w:pPr>
        <w:pStyle w:val="ListBullet"/>
      </w:pPr>
      <w:r>
        <w:t>Art. 11 Abs. 3 KI-VO: Sofern ein KI-System auf einem GPAI-Modell basiert, umfasst die technische Dokumentation auch die nach Art. 53 Abs. 1 KI-VO erforderlichen Informationen.</w:t>
      </w:r>
    </w:p>
    <w:p>
      <w:pPr>
        <w:pStyle w:val="ListBullet"/>
      </w:pPr>
      <w:r>
        <w:t>Die Llama-Adaptation ist ein GPAI-Modell i.S.d. Art. 3 Nr. 63 KI-VO (s. Aktenstück 19); entsprechend müssen Modellarchitektur, Trainingsparameter, Systemcard und Evaluierungsergebnisse in die Dokumentation einbezogen werden.</w:t>
      </w:r>
    </w:p>
    <w:p>
      <w:pPr>
        <w:pStyle w:val="Heading3"/>
      </w:pPr>
      <w:r>
        <w:rPr>
          <w:rFonts w:ascii="Times New Roman" w:hAnsi="Times New Roman"/>
        </w:rPr>
        <w:t>3.2 Fehlende klinische Validierungsstudie (Anhang IV Nr. 9)</w:t>
      </w:r>
    </w:p>
    <w:p>
      <w:pPr>
        <w:jc w:val="left"/>
      </w:pPr>
      <w:r>
        <w:t>Eine prospektive oder retrospektive klinische Validierungsstudie in deutschen Krankenhäusern ist nicht vorgelegt worden. MA-EVAL-2024-03 enthält nur interne Testläufe. Für ein Medizinprodukt Klasse IIb mit KI-Komponente ist eine klinische Evaluierung nach Art. 61 MDR i.V.m. Anhang XIV MDR erforderlich; diese muss mit der Anforderung des Art. 9 Abs. 7 KI-VO (Testing unter realen Bedingungen) koordiniert werden.</w:t>
      </w:r>
    </w:p>
    <w:p>
      <w:pPr>
        <w:pStyle w:val="Heading3"/>
      </w:pPr>
      <w:r>
        <w:rPr>
          <w:rFonts w:ascii="Times New Roman" w:hAnsi="Times New Roman"/>
        </w:rPr>
        <w:t>3.3 Fehlende Erklärbarkeit und Interpretierbarkeit (Anhang IV Nr. 11)</w:t>
      </w:r>
    </w:p>
    <w:p>
      <w:pPr>
        <w:jc w:val="left"/>
      </w:pPr>
      <w:r>
        <w:t>Das Benutzerhandbuch v4.1 enthält keine Informationen darüber, wie das System zu seinen Klassifikations-Empfehlungen gelangt. Disponenten können die Systemempfehlung nicht auf ihre Plausibilität hin überprüfen, da keine Erklärbarkeits-Ausgabe vorhanden ist (kein Confidence-Breakdown, keine SHAP-Werte oder äquivalente Methode). Dies verstärkt das Art. 14-Defizit (s. Aktenstück 09).</w:t>
      </w:r>
    </w:p>
    <w:p/>
    <w:p>
      <w:pPr>
        <w:pStyle w:val="Heading2"/>
      </w:pPr>
      <w:r>
        <w:rPr>
          <w:rFonts w:ascii="Times New Roman" w:hAnsi="Times New Roman"/>
        </w:rPr>
        <w:t>4. Handlungsempfehlungen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Maßnahme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Priorität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Frist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Vollständige Neufassung technische Dokumentation (Anhang-IV-konform)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Kritisch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31.05.2026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Integration GPAI-Dokumentation Llama-Adaptation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Hoch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30.04.2026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Klinische Validierungsstudie beauftragen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Hoch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Start 01.04.2026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Erklärbarkeits-Modul für Benutzeroberfläche entwickeln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Hoch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30.06.2026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Change-Control-Verfahren für technische Dokumentation einführen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30.05.2026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5. Gesamtbewertung Art. 11</w:t>
      </w:r>
    </w:p>
    <w:p>
      <w:pPr>
        <w:jc w:val="left"/>
      </w:pPr>
      <w:r>
        <w:rPr>
          <w:b/>
        </w:rPr>
        <w:t>Art. 11 KI-VO: Nicht konform.</w:t>
      </w:r>
    </w:p>
    <w:p>
      <w:pPr>
        <w:jc w:val="left"/>
      </w:pPr>
      <w:r>
        <w:t>Die technische Dokumentation ist strukturell unvollständig und deckt zentrale Anhang-IV-Anforderungen nicht ab. Bis zur Frist 02.08.2026 muss eine vollständige, Anhang-IV-konforme Dokumentation vorliegen.</w:t>
      </w:r>
    </w:p>
    <w:p/>
    <w:p>
      <w:pPr>
        <w:jc w:val="left"/>
      </w:pPr>
      <w:r>
        <w:rPr>
          <w:i/>
        </w:rPr>
        <w:t>Heidelberg, 25.03.2026</w:t>
      </w:r>
    </w:p>
    <w:p>
      <w:pPr>
        <w:jc w:val="left"/>
      </w:pPr>
      <w:r>
        <w:rPr>
          <w:i/>
        </w:rPr>
        <w:t>RA Dr. Mark Roosendaal — Az. 2026-V-0427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