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07 — Art. 12 KI-VO: Aufzeichnungspflichten und Logging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Erstellt:</w:t>
      </w:r>
      <w:r>
        <w:t xml:space="preserve"> 28.03.2026</w:t>
      </w:r>
    </w:p>
    <w:p>
      <w:pPr>
        <w:jc w:val="left"/>
      </w:pPr>
      <w:r>
        <w:rPr>
          <w:b/>
        </w:rPr>
        <w:t>Bearbeitung:</w:t>
      </w:r>
      <w:r>
        <w:t xml:space="preserve"> RA Dr. Mark Roosendaal</w:t>
      </w:r>
    </w:p>
    <w:p>
      <w:pPr>
        <w:jc w:val="left"/>
      </w:pPr>
      <w:r>
        <w:rPr>
          <w:b/>
        </w:rPr>
        <w:t>Rechtsgrundlage:</w:t>
      </w:r>
      <w:r>
        <w:t xml:space="preserve"> Art. 12 KI-VO (EU) 2024/1689</w:t>
      </w:r>
    </w:p>
    <w:p/>
    <w:p>
      <w:pPr>
        <w:pStyle w:val="Heading2"/>
      </w:pPr>
      <w:r>
        <w:rPr>
          <w:rFonts w:ascii="Times New Roman" w:hAnsi="Times New Roman"/>
        </w:rPr>
        <w:t>1. Anforderungen Art. 12 KI-VO</w:t>
      </w:r>
    </w:p>
    <w:p>
      <w:pPr>
        <w:jc w:val="left"/>
      </w:pPr>
      <w:r>
        <w:t>Art. 12 Abs. 1 KI-VO verlangt, dass Hochrisiko-KI-Systeme technische Möglichkeiten zur automatischen Aufzeichnung von Ereignissen (Logs) während des Betriebs bieten. Art. 12 Abs. 2 KI-VO konkretisiert: die Aufzeichnungsfähigkeit soll mindestens die Überwachung des Systembetriebs hinsichtlich Ereignissen ermöglichen, die Risiken darstellen oder zu wesentlichen Veränderungen führen. Art. 12 Abs. 3 KI-VO legt für Hochrisiko-KI unter Anhang III besondere Aufzeichnungsanforderungen fest:</w:t>
      </w:r>
    </w:p>
    <w:p>
      <w:pPr>
        <w:pStyle w:val="ListBullet"/>
      </w:pPr>
      <w:r>
        <w:t>Zeitraum jeder Verwendung (Start/Ende)</w:t>
      </w:r>
    </w:p>
    <w:p>
      <w:pPr>
        <w:pStyle w:val="ListBullet"/>
      </w:pPr>
      <w:r>
        <w:t>Referenzdatenbank, anhand derer Eingabedaten abgeglichen wurden</w:t>
      </w:r>
    </w:p>
    <w:p>
      <w:pPr>
        <w:pStyle w:val="ListBullet"/>
      </w:pPr>
      <w:r>
        <w:t>Datum, Zeitpunkt, Ergebnis (inkl. Konfidenzwert) jedes Output</w:t>
      </w:r>
    </w:p>
    <w:p>
      <w:pPr>
        <w:pStyle w:val="ListBullet"/>
      </w:pPr>
      <w:r>
        <w:t>Identität der natürlichen Person, die das System überwacht hat</w:t>
      </w:r>
    </w:p>
    <w:p/>
    <w:p>
      <w:pPr>
        <w:pStyle w:val="Heading2"/>
      </w:pPr>
      <w:r>
        <w:rPr>
          <w:rFonts w:ascii="Times New Roman" w:hAnsi="Times New Roman"/>
        </w:rPr>
        <w:t>2. Bestandsaufnahme Audit-Trail-Modul (ATM) MedAssist v4</w:t>
      </w:r>
    </w:p>
    <w:p>
      <w:pPr>
        <w:jc w:val="left"/>
      </w:pPr>
      <w:r>
        <w:t>Das Audit-Trail-Modul ist die Logging-Komponente von MedAssist v4 (s. Aktenstück 02, Abschn. 2.3). Technische Spezifikation: ATM-Spezifikation v2, Stand Oktober 2024.</w:t>
      </w:r>
    </w:p>
    <w:p>
      <w:pPr>
        <w:pStyle w:val="Heading3"/>
      </w:pPr>
      <w:r>
        <w:rPr>
          <w:rFonts w:ascii="Times New Roman" w:hAnsi="Times New Roman"/>
        </w:rPr>
        <w:t>2.1 Was wird aufgezeichnet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Aufgezeichnet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Format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Zeitpunkt Notruf-Eingang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ISO 8601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Konform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Transkriptionsstart/-ende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ISO 8601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Konform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NLU-Klassifikation (Dringlichkeit, Kategorie)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JSON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Konform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Konfidenzwert NLU-Ausgabe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Float 0–1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Konform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DEM-Empfehlung (Top-1 und Alternativen)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JSON (nur Top-1)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vollständig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Identität des Disponenten (Override-Aktion)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in 4 von 18 Kliniken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konform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Zeitpunkt Disponent-Aktion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in 4 von 18 Kliniken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konform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Systemausfälle / Anomalien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Syslog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Konform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Modellversion (NLU, DEM)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Datenhaltungsdauer</w:t>
      </w:r>
    </w:p>
    <w:p>
      <w:pPr>
        <w:jc w:val="left"/>
      </w:pPr>
      <w:r>
        <w:t>ATM-Spezifikation v2 sieht eine Datenhaltung von 5 Jahren vor. Art. 12 KI-VO legt keine exakte Mindestfrist fest, verweist aber auf zweckadäquate Aufbewahrung. Für medizinische Kontexte ist eine Mindesthaltung von 10 Jahren nach § 630f BGB (Dokumentationspflicht Behandlungsunterlagen) bzw. §§ 28, 36 Berufsordnungen zu erwägen. Die Diskrepanz zwischen 5-Jahre-Logging-Frist (KI-VO) und 10-Jahre-Dokumentationspflicht (Medizinrecht) ist zu koordinieren.</w:t>
      </w:r>
    </w:p>
    <w:p>
      <w:pPr>
        <w:pStyle w:val="Heading3"/>
      </w:pPr>
      <w:r>
        <w:rPr>
          <w:rFonts w:ascii="Times New Roman" w:hAnsi="Times New Roman"/>
        </w:rPr>
        <w:t>2.3 Zugriff und Export</w:t>
      </w:r>
    </w:p>
    <w:p>
      <w:pPr>
        <w:jc w:val="left"/>
      </w:pPr>
      <w:r>
        <w:t>Eine Export-API für Behördenanfragen ist vorhanden (REST, JSON-Format). Im BNetzA-Marktüberwachungsverfahren (Az. 1-101.05-2026/MA-008) wurde am 01.03.2026 ein erstes Auskunftsersuchen gestellt. MedAssist AI GmbH hat am 15.03.2026 Teile der Logs exportiert und übermittelt. Der BNetzA-Inspektor hat mit Schreiben vom 22.03.2026 moniert, dass die Disponenten-Identitätsdaten in den Logs fehlten.</w:t>
      </w:r>
    </w:p>
    <w:p/>
    <w:p>
      <w:pPr>
        <w:pStyle w:val="Heading2"/>
      </w:pPr>
      <w:r>
        <w:rPr>
          <w:rFonts w:ascii="Times New Roman" w:hAnsi="Times New Roman"/>
        </w:rPr>
        <w:t>3. Kritische Befunde</w:t>
      </w:r>
    </w:p>
    <w:p>
      <w:pPr>
        <w:pStyle w:val="Heading3"/>
      </w:pPr>
      <w:r>
        <w:rPr>
          <w:rFonts w:ascii="Times New Roman" w:hAnsi="Times New Roman"/>
        </w:rPr>
        <w:t>3.1 Fehlende Disponenten-Identität (Art. 12 Abs. 3 lit. d)</w:t>
      </w:r>
    </w:p>
    <w:p>
      <w:pPr>
        <w:jc w:val="left"/>
      </w:pPr>
      <w:r>
        <w:t>In 14 der 18 Kliniken wird die Identität des Disponenten, der das System überwacht oder eine Entscheidung getroffen hat, nicht protokolliert. Dies ist ein direkter Verstoß gegen Art. 12 Abs. 3 lit. d KI-VO. Gleichzeitig ist dies eng verbunden mit dem Art. 14-Defizit: Wenn nicht einmal protokolliert wird, wer die Überwachung ausgeübt hat, ist eine retrospektive Beurteilung der menschlichen Aufsicht unmöglich.</w:t>
      </w:r>
    </w:p>
    <w:p>
      <w:pPr>
        <w:pStyle w:val="Heading3"/>
      </w:pPr>
      <w:r>
        <w:rPr>
          <w:rFonts w:ascii="Times New Roman" w:hAnsi="Times New Roman"/>
        </w:rPr>
        <w:t>3.2 Fehlende Modellversion im Log (Art. 12 Abs. 2)</w:t>
      </w:r>
    </w:p>
    <w:p>
      <w:pPr>
        <w:jc w:val="left"/>
      </w:pPr>
      <w:r>
        <w:t>Die Protokollierung der Modellversion ist für Nachvollziehbarkeit bei Audit-Anfragen der BNetzA unerlässlich. Ohne Versions-Logging kann nicht festgestellt werden, welche Modellversion zum Zeitpunkt eines Vorfalls aktiv war. Dies ist bei den drei schwerwiegenden Vorfällen aus 2025 bereits problematisch geworden.</w:t>
      </w:r>
    </w:p>
    <w:p>
      <w:pPr>
        <w:pStyle w:val="Heading3"/>
      </w:pPr>
      <w:r>
        <w:rPr>
          <w:rFonts w:ascii="Times New Roman" w:hAnsi="Times New Roman"/>
        </w:rPr>
        <w:t>3.3 Inkomplette DEM-Top-3-Aufzeichnung</w:t>
      </w:r>
    </w:p>
    <w:p>
      <w:pPr>
        <w:jc w:val="left"/>
      </w:pPr>
      <w:r>
        <w:t>Das Dispositionsmodul protokolliert nur die Top-1-Empfehlung, nicht die Alternativen (Top-2, Top-3). Für die Überprüfung, ob dem Disponenten relevante Alternativen präsentiert wurden, sind aber auch die nicht gewählten Optionen relevant.</w:t>
      </w:r>
    </w:p>
    <w:p/>
    <w:p>
      <w:pPr>
        <w:pStyle w:val="Heading2"/>
      </w:pPr>
      <w:r>
        <w:rPr>
          <w:rFonts w:ascii="Times New Roman" w:hAnsi="Times New Roman"/>
        </w:rPr>
        <w:t>4. Handlungsempfehlungen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Roll-out Disponenten-ID-Logging auf alle 18 Kliniken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Ergänzung Modellversionierung in ATM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Erweiterung DEM-Logging auf Top-3-Empfehlungen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Abstimmung Datenhaltungsdauer mit medizinrechtlichen Anforderungen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Aktualisierung ATM-Spezifikation v3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Gesamtbewertung Art. 12</w:t>
      </w:r>
    </w:p>
    <w:p>
      <w:pPr>
        <w:jc w:val="left"/>
      </w:pPr>
      <w:r>
        <w:rPr>
          <w:b/>
        </w:rPr>
        <w:t>Art. 12 KI-VO: Teilweise konform (mit kritischen Lücken).</w:t>
      </w:r>
    </w:p>
    <w:p>
      <w:pPr>
        <w:jc w:val="left"/>
      </w:pPr>
      <w:r>
        <w:t>Die Logging-Grundinfrastruktur ist vorhanden. Die Nichtprotokollierung der Disponenten-Identität in 14 Kliniken und die fehlende Modellversionierung sind kritische Verstöße, die für das BNetzA-Marktüberwachungsverfahren unmittelbaren Klärungsbedarf auslösen.</w:t>
      </w:r>
    </w:p>
    <w:p/>
    <w:p>
      <w:pPr>
        <w:jc w:val="left"/>
      </w:pPr>
      <w:r>
        <w:rPr>
          <w:i/>
        </w:rPr>
        <w:t>Heidelberg, 28.03.2026</w:t>
      </w:r>
    </w:p>
    <w:p>
      <w:pPr>
        <w:jc w:val="left"/>
      </w:pPr>
      <w:r>
        <w:rPr>
          <w:i/>
        </w:rPr>
        <w:t>RA Dr. Mark Roosendaal — Az. 2026-V-0427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