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10 — Art. 15 KI-VO: Genauigkeit, Robustheit und Cybersicherheit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08.04.2026</w:t>
      </w:r>
    </w:p>
    <w:p>
      <w:pPr>
        <w:jc w:val="left"/>
      </w:pPr>
      <w:r>
        <w:rPr>
          <w:b/>
        </w:rPr>
        <w:t>Bearbeitung:</w:t>
      </w:r>
      <w:r>
        <w:t xml:space="preserve"> RA Dr. Mark Roosendaal</w:t>
      </w:r>
    </w:p>
    <w:p>
      <w:pPr>
        <w:jc w:val="left"/>
      </w:pPr>
      <w:r>
        <w:rPr>
          <w:b/>
        </w:rPr>
        <w:t>Rechtsgrundlage:</w:t>
      </w:r>
      <w:r>
        <w:t xml:space="preserve"> Art. 15 KI-VO (EU) 2024/1689; ISO/IEC 27001:2022</w:t>
      </w:r>
    </w:p>
    <w:p/>
    <w:p>
      <w:pPr>
        <w:pStyle w:val="Heading2"/>
      </w:pPr>
      <w:r>
        <w:rPr>
          <w:rFonts w:ascii="Times New Roman" w:hAnsi="Times New Roman"/>
        </w:rPr>
        <w:t>1. Anforderungen Art. 15 KI-VO</w:t>
      </w:r>
    </w:p>
    <w:p>
      <w:pPr>
        <w:jc w:val="left"/>
      </w:pPr>
      <w:r>
        <w:t>Art. 15 KI-VO verlangt, dass Hochrisiko-KI-Systeme angemessene Genauigkeits-, Robustheitss- und Cybersicherheitsniveaus erreichen und während des gesamten Lebenszyklus aufrechterhalten. Im Einzelnen:</w:t>
      </w:r>
    </w:p>
    <w:p>
      <w:pPr>
        <w:pStyle w:val="ListBullet"/>
      </w:pPr>
      <w:r>
        <w:rPr>
          <w:b/>
        </w:rPr>
        <w:t>Genauigkeit (Art. 15 Abs. 1):</w:t>
      </w:r>
      <w:r>
        <w:t xml:space="preserve"> Angemessene Genauigkeitsniveaus unter Berücksichtigung des Einsatzbereichs; Angabe im Anhang IV und in der Betreiberanleitung</w:t>
      </w:r>
    </w:p>
    <w:p>
      <w:pPr>
        <w:pStyle w:val="ListBullet"/>
      </w:pPr>
      <w:r>
        <w:rPr>
          <w:b/>
        </w:rPr>
        <w:t>Robustheit (Art. 15 Abs. 3):</w:t>
      </w:r>
      <w:r>
        <w:t xml:space="preserve"> Widerstandsfähigkeit gegen Fehler, Ausfälle, Inkonsistenzen; Resilienz gegen Manipulation</w:t>
      </w:r>
    </w:p>
    <w:p>
      <w:pPr>
        <w:pStyle w:val="ListBullet"/>
      </w:pPr>
      <w:r>
        <w:rPr>
          <w:b/>
        </w:rPr>
        <w:t>Cybersicherheit (Art. 15 Abs. 4–5):</w:t>
      </w:r>
      <w:r>
        <w:t xml:space="preserve"> Schutz vor Angriffen, die zu unerwünschten Systemverhalten führen; Anforderungen entsprechend NIS-2-Richtlinie und einschlägiger Normen</w:t>
      </w:r>
    </w:p>
    <w:p/>
    <w:p>
      <w:pPr>
        <w:pStyle w:val="Heading2"/>
      </w:pPr>
      <w:r>
        <w:rPr>
          <w:rFonts w:ascii="Times New Roman" w:hAnsi="Times New Roman"/>
        </w:rPr>
        <w:t>2. Genauigkeit</w:t>
      </w:r>
    </w:p>
    <w:p>
      <w:pPr>
        <w:pStyle w:val="Heading3"/>
      </w:pPr>
      <w:r>
        <w:rPr>
          <w:rFonts w:ascii="Times New Roman" w:hAnsi="Times New Roman"/>
        </w:rPr>
        <w:t>2.1 Ist-Stand (aus MA-EVAL-2024-03)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Metrik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Benchmark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Overall Accuracy Dringlichkeit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84,3 %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&gt; 95 % (klinischer Standard)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Unzureichend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Recall Dringlichkeitsstufe 1 (lebensbedrohlich)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91,2 %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&gt; 98 % (Sicherheitsgrenzwert)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Unzureichend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False-Negative-Rate Dringlichkeit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8,8 %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 2 %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Accuracy psychiatrische Notfälle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62,1 %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&gt; 80 %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Accuracy pädiatrische Notfälle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71,4 %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&gt; 85 %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ausreichend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Accuracy Traumata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88,2 %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&gt; 90 %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Grenzwertig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Fehlende Genauigkeitsangaben im Benutzerhandbuch</w:t>
      </w:r>
    </w:p>
    <w:p>
      <w:pPr>
        <w:jc w:val="left"/>
      </w:pPr>
      <w:r>
        <w:t>Die Accuracy-Daten aus MA-EVAL-2024-03 sind nicht im Benutzerhandbuch und nicht in der Technischen Dokumentation ausgewiesen. Disponenten haben damit keinen Zugang zu den tatsächlichen Leistungsgrenzen des Systems — was die Transparenz-Anforderungen nach Art. 13 und die Aufsichtsanforderungen nach Art. 14 zusätzlich verletzt.</w:t>
      </w:r>
    </w:p>
    <w:p>
      <w:pPr>
        <w:pStyle w:val="Heading3"/>
      </w:pPr>
      <w:r>
        <w:rPr>
          <w:rFonts w:ascii="Times New Roman" w:hAnsi="Times New Roman"/>
        </w:rPr>
        <w:t>2.3 Konzeptdrift</w:t>
      </w:r>
    </w:p>
    <w:p>
      <w:pPr>
        <w:jc w:val="left"/>
      </w:pPr>
      <w:r>
        <w:t>Das Dispositionsmodul (XGBoost) wurde auf Daten 2020–2023 trainiert. Ein Monitoring auf Konzeptdrift (Performance-Verschlechterung durch veränderte Datenverteilung im Produktionseinsatz 2023–2026) findet nicht statt. Die Accuracy-Daten aus 2024 könnten den tatsächlichen Produktionsstand bereits überoptimistisch darstellen.</w:t>
      </w:r>
    </w:p>
    <w:p/>
    <w:p>
      <w:pPr>
        <w:pStyle w:val="Heading2"/>
      </w:pPr>
      <w:r>
        <w:rPr>
          <w:rFonts w:ascii="Times New Roman" w:hAnsi="Times New Roman"/>
        </w:rPr>
        <w:t>3. Robustheit</w:t>
      </w:r>
    </w:p>
    <w:p>
      <w:pPr>
        <w:pStyle w:val="Heading3"/>
      </w:pPr>
      <w:r>
        <w:rPr>
          <w:rFonts w:ascii="Times New Roman" w:hAnsi="Times New Roman"/>
        </w:rPr>
        <w:t>3.1 Technische Robustheit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Getestet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Hintergrundlärm (Notfallambiente)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Performance-Abfall bei &gt; 70 dB Hintergrundlärm auf 74,2 % Accuracy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Fremdsprachige Anrufer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Ungetestet — erhebliches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Starker Dialekt (bayer., schwäb.)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Leichter Performance-Abfall (–3,1 %)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Systemüberlastung (&gt; 50 parallele Notrufe)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Latenzüberschreitung 95. Pz. 1.240 ms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Modell-Adversarial Inputs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Adversarial Testing dokumentiert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Netzwerkausfall (Teilausfall)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Graceful Degradation implementiert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Fallback bei Systemausfall</w:t>
      </w:r>
    </w:p>
    <w:p>
      <w:pPr>
        <w:jc w:val="left"/>
      </w:pPr>
      <w:r>
        <w:t>Wie in Aktenstück 08 festgestellt, fehlt ein dokumentiertes Fallback-Verfahren. Der 47-minütige Ausfall im Klinikum Freiburg-Süd (2025) demonstriert das reale Ausfallrisiko.</w:t>
      </w:r>
    </w:p>
    <w:p/>
    <w:p>
      <w:pPr>
        <w:pStyle w:val="Heading2"/>
      </w:pPr>
      <w:r>
        <w:rPr>
          <w:rFonts w:ascii="Times New Roman" w:hAnsi="Times New Roman"/>
        </w:rPr>
        <w:t>4. Cybersicherheit</w:t>
      </w:r>
    </w:p>
    <w:p>
      <w:pPr>
        <w:pStyle w:val="Heading3"/>
      </w:pPr>
      <w:r>
        <w:rPr>
          <w:rFonts w:ascii="Times New Roman" w:hAnsi="Times New Roman"/>
        </w:rPr>
        <w:t>4.1 ISO/IEC 27001:2022 Zertifizierung</w:t>
      </w:r>
    </w:p>
    <w:p>
      <w:pPr>
        <w:jc w:val="left"/>
      </w:pPr>
      <w:r>
        <w:t xml:space="preserve">MedAssist AI GmbH ist seit 2022 nach ISO/IEC 27001:2022 zertifiziert (Zertifikat TÜV Rheinland, ausgestellt 14.06.2022, gültig bis 13.06.2025). </w:t>
      </w:r>
      <w:r>
        <w:rPr>
          <w:b/>
        </w:rPr>
        <w:t>Das Zertifikat ist am 13.06.2025 abgelaufen und wurde bislang nicht erneuert.</w:t>
      </w:r>
      <w:r>
        <w:t xml:space="preserve"> CTO Krishnamurthy hat bestätigt, dass die Rezertifizierung verschoben wurde.</w:t>
      </w:r>
    </w:p>
    <w:p>
      <w:pPr>
        <w:jc w:val="left"/>
      </w:pPr>
      <w:r>
        <w:rPr>
          <w:b/>
        </w:rPr>
        <w:t>Rechtliche Einschätzung:</w:t>
      </w:r>
      <w:r>
        <w:t xml:space="preserve"> Ein abgelaufenes ISO 27001-Zertifikat stellt keine ausreichende Grundlage für den Nachweis der Cybersicherheitsanforderungen nach Art. 15 Abs. 4 KI-VO dar. Die Rezertifizierung ist vordringlich.</w:t>
      </w:r>
    </w:p>
    <w:p>
      <w:pPr>
        <w:pStyle w:val="Heading3"/>
      </w:pPr>
      <w:r>
        <w:rPr>
          <w:rFonts w:ascii="Times New Roman" w:hAnsi="Times New Roman"/>
        </w:rPr>
        <w:t>4.2 KI-spezifische Angriffsvektoren</w:t>
      </w:r>
    </w:p>
    <w:p>
      <w:pPr>
        <w:jc w:val="left"/>
      </w:pPr>
      <w:r>
        <w:t>Art. 15 Abs. 5 KI-VO adressiert ausdrücklich KI-spezifische Angriffe (Adversarial Attacks, Datenvergiftung, Modell-Evasion). Für MedAssist v4 ist kein Penetrationstest mit KI-spezifischen Angriffsvektoren dokumentiert. Insbesondere:</w:t>
      </w:r>
    </w:p>
    <w:p>
      <w:pPr>
        <w:pStyle w:val="ListBullet"/>
      </w:pPr>
      <w:r>
        <w:rPr>
          <w:b/>
        </w:rPr>
        <w:t>Adversarial Inputs auf NLU:</w:t>
      </w:r>
      <w:r>
        <w:t xml:space="preserve"> Manipulierte Sprachsequenzen, die das NLU-Modell zur Falschklassifikation verleiten (z.B. Echtzeit-Audio-Manipulation), sind ungetestet</w:t>
      </w:r>
    </w:p>
    <w:p>
      <w:pPr>
        <w:pStyle w:val="ListBullet"/>
      </w:pPr>
      <w:r>
        <w:rPr>
          <w:b/>
        </w:rPr>
        <w:t>Datenvergiftung:</w:t>
      </w:r>
      <w:r>
        <w:t xml:space="preserve"> Da Kliniken prinzipiell lokale Instanzen betreiben, ist eine dezentrale Angriffsfläche vorhanden, die im Sicherheitskonzept nicht adressiert wird</w:t>
      </w:r>
    </w:p>
    <w:p>
      <w:pPr>
        <w:pStyle w:val="Heading3"/>
      </w:pPr>
      <w:r>
        <w:rPr>
          <w:rFonts w:ascii="Times New Roman" w:hAnsi="Times New Roman"/>
        </w:rPr>
        <w:t>4.3 NIS-2-Bezug</w:t>
      </w:r>
    </w:p>
    <w:p>
      <w:pPr>
        <w:jc w:val="left"/>
      </w:pPr>
      <w:r>
        <w:t>Krankenhäuser ab einer bestimmten Größe sind als „wichtige Einrichtungen" i.S.d. NIS-2-Umsetzungsgesetzes (NIS2UmsuCG) klassifiziert. MedAssist AI GmbH als KRITIS-naher Softwareanbieter muss prüfen, ob eigene NIS-2-Pflichten bestehen (als wesentlicher Lieferant). Diese Prüfung steht aus.</w:t>
      </w:r>
    </w:p>
    <w:p/>
    <w:p>
      <w:pPr>
        <w:pStyle w:val="Heading2"/>
      </w:pPr>
      <w:r>
        <w:rPr>
          <w:rFonts w:ascii="Times New Roman" w:hAnsi="Times New Roman"/>
        </w:rPr>
        <w:t>5.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Rezertifizierung ISO/IEC 27001:2022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Adversarial Testing NLU-Modul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Implementierung Konzeptdrift-Monitoring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 fremdsprachige Anrufer / Dialekte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NIS-2-Eigenprüfung als Lieferant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Dokumentation Accuracy-Daten in Benutzerhandbuch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Gesamtbewertung Art. 15</w:t>
      </w:r>
    </w:p>
    <w:p>
      <w:pPr>
        <w:jc w:val="left"/>
      </w:pPr>
      <w:r>
        <w:rPr>
          <w:b/>
        </w:rPr>
        <w:t>Art. 15 KI-VO: Nicht konform.</w:t>
      </w:r>
    </w:p>
    <w:p>
      <w:pPr>
        <w:jc w:val="left"/>
      </w:pPr>
      <w:r>
        <w:t>Unzureichende Genauigkeit für kritischen Einsatzbereich, abgelaufene Cybersicherheitszertifizierung, fehlendes Adversarial Testing.</w:t>
      </w:r>
    </w:p>
    <w:p/>
    <w:p>
      <w:pPr>
        <w:jc w:val="left"/>
      </w:pPr>
      <w:r>
        <w:rPr>
          <w:i/>
        </w:rPr>
        <w:t>Heidelberg, 08.04.2026</w:t>
      </w:r>
    </w:p>
    <w:p>
      <w:pPr>
        <w:jc w:val="left"/>
      </w:pPr>
      <w:r>
        <w:rPr>
          <w:i/>
        </w:rPr>
        <w:t>RA Dr. Mark Roosendaal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