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Art. 16 KI-VO: Pflichten des Anbieters — Gesamtübersicht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12.04.2026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</w:t>
      </w:r>
    </w:p>
    <w:p>
      <w:pPr>
        <w:jc w:val="left"/>
      </w:pPr>
      <w:r>
        <w:rPr>
          <w:b/>
        </w:rPr>
        <w:t>Rechtsgrundlage:</w:t>
      </w:r>
      <w:r>
        <w:t xml:space="preserve"> Art. 16 KI-VO (EU) 2024/1689</w:t>
      </w:r>
    </w:p>
    <w:p/>
    <w:p>
      <w:pPr>
        <w:pStyle w:val="Heading2"/>
      </w:pPr>
      <w:r>
        <w:rPr>
          <w:rFonts w:ascii="Times New Roman" w:hAnsi="Times New Roman"/>
        </w:rPr>
        <w:t>1. Systematik Art. 16 KI-VO</w:t>
      </w:r>
    </w:p>
    <w:p>
      <w:pPr>
        <w:jc w:val="left"/>
      </w:pPr>
      <w:r>
        <w:t>Art. 16 KI-VO listet die Pflichten von Anbietern von Hochrisiko-KI-Systemen in einer nicht abschließenden Gesamtschau: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Artikel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MedAssist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Konformitätsbewertungsverfahren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a, Art. 43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EU-Konformitätserklärung ausstellen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b, Art. 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vorhanden (s. Aktenstück 13)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CE-Kennzeichnung anbringen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c, Art. 48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MDR-CE vorhanden; KI-VO-CE 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 in EU-Datenbank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d, Art. 49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registriert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 erstellen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e, Art.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 (s. Aktenstück 06)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Aufzeichnungspflichten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f, Art.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erfüllt (s. Aktenstück 07)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QM-System einrichten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g, Art. 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Post-Market-Monitoring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h, Art. 72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Rudimentär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Meldepflichten bei schwerwiegenden Vorfällen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16 lit. i, Art. 73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eingehalten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Qualitätsmanagementsystem (Art. 17 KI-VO)</w:t>
      </w:r>
    </w:p>
    <w:p>
      <w:pPr>
        <w:jc w:val="left"/>
      </w:pPr>
      <w:r>
        <w:t>Art. 17 KI-VO verpflichtet Anbieter, ein Qualitätsmanagementsystem (QMS) einzurichten, das mindestens umfasst:</w:t>
      </w:r>
    </w:p>
    <w:p>
      <w:pPr>
        <w:pStyle w:val="ListBullet"/>
      </w:pPr>
      <w:r>
        <w:t>Strategien und Verfahren für die Sicherstellung der Konformität</w:t>
      </w:r>
    </w:p>
    <w:p>
      <w:pPr>
        <w:pStyle w:val="ListBullet"/>
      </w:pPr>
      <w:r>
        <w:t>Verfahren zur Überwachung, Überprüfung und Validierung</w:t>
      </w:r>
    </w:p>
    <w:p>
      <w:pPr>
        <w:pStyle w:val="ListBullet"/>
      </w:pPr>
      <w:r>
        <w:t>Verfahren zur Meldung schwerwiegender Vorfälle</w:t>
      </w:r>
    </w:p>
    <w:p>
      <w:pPr>
        <w:pStyle w:val="ListBullet"/>
      </w:pPr>
      <w:r>
        <w:t>Verfahren für Post-Market-Monitoring</w:t>
      </w:r>
    </w:p>
    <w:p>
      <w:pPr>
        <w:jc w:val="left"/>
      </w:pPr>
      <w:r>
        <w:rPr>
          <w:b/>
        </w:rPr>
        <w:t>Befund:</w:t>
      </w:r>
      <w:r>
        <w:t xml:space="preserve"> Ein formelles QMS nach Art. 17 KI-VO existiert bei MedAssist AI GmbH nicht. Das vorhandene ISO 9001-Qualitätsmanagement (zertifiziert 2021) deckt Softwareentwicklungsprozesse ab, ist aber nicht auf die spezifischen KI-VO-Anforderungen ausgerichtet.</w:t>
      </w:r>
    </w:p>
    <w:p/>
    <w:p>
      <w:pPr>
        <w:pStyle w:val="Heading2"/>
      </w:pPr>
      <w:r>
        <w:rPr>
          <w:rFonts w:ascii="Times New Roman" w:hAnsi="Times New Roman"/>
        </w:rPr>
        <w:t>3. Post-Market-Monitoring (Art. 72 KI-VO)</w:t>
      </w:r>
    </w:p>
    <w:p>
      <w:pPr>
        <w:jc w:val="left"/>
      </w:pPr>
      <w:r>
        <w:t>Art. 72 KI-VO verlangt, dass Anbieter ein System zur proaktiven Erhebung und Auswertung von Daten über die Systemleistung im Echtbetrieb einrichten. Dies muss bei Hochrisiko-Systemen nach Anhang III Teil eines systematischen Plans sein.</w:t>
      </w:r>
    </w:p>
    <w:p>
      <w:pPr>
        <w:jc w:val="left"/>
      </w:pPr>
      <w:r>
        <w:rPr>
          <w:b/>
        </w:rPr>
        <w:t>Befund:</w:t>
      </w:r>
      <w:r>
        <w:t xml:space="preserve"> Der vorhandene Incident-Log (s. Aktenstück 07) ist ein reaktives Instrument. Ein proaktives Post-Market-Monitoring-System — das kontinuierlich Leistungsdaten aus den 18 Kliniken sammelt, auswertet und Anomalien signalisiert — fehlt.</w:t>
      </w:r>
    </w:p>
    <w:p/>
    <w:p>
      <w:pPr>
        <w:pStyle w:val="Heading2"/>
      </w:pPr>
      <w:r>
        <w:rPr>
          <w:rFonts w:ascii="Times New Roman" w:hAnsi="Times New Roman"/>
        </w:rPr>
        <w:t>4. Meldepflichten schwerwiegende Vorfälle (Art. 73 KI-VO)</w:t>
      </w:r>
    </w:p>
    <w:p>
      <w:pPr>
        <w:jc w:val="left"/>
      </w:pPr>
      <w:r>
        <w:t>Art. 73 KI-VO verpflichtet Anbieter, schwerwiegende Vorfälle (Vorfälle oder Fehlfunktionen, die zu Tod, schwerer Körperverletzung oder anderen in Art. 3 Nr. 49 KI-VO definierten Schäden führen) unverzüglich der zuständigen Marktüberwachungsbehörde zu melden.</w:t>
      </w:r>
    </w:p>
    <w:p>
      <w:pPr>
        <w:jc w:val="left"/>
      </w:pPr>
      <w:r>
        <w:rPr>
          <w:b/>
        </w:rPr>
        <w:t>Befund:</w:t>
      </w:r>
      <w:r>
        <w:t xml:space="preserve"> Die drei als schwerwiegend klassifizierten Incidents aus 2025 wurden der BNetzA nicht gemeldet. MedAssist AI GmbH begründete dies damit, dass es keinen bestätigten Patientenschaden gegeben habe. Dies verkennt den Meldezeitpunkt: Art. 73 KI-VO löst die Meldepflicht nicht erst bei eingetretenem Schaden aus, sondern bei schwerwiegenden Fehlfunktionen, die zu solchen Schäden führen können. Die zwei Unterklassifikations-Incidents (Schlaganfall, Freiburg-Süd; Herzinfarkt, Klinikum Mannheim-Süd) und der 47-minütige Systemausfall hätten gemeldet werden müssen.</w:t>
      </w:r>
    </w:p>
    <w:p>
      <w:pPr>
        <w:jc w:val="left"/>
      </w:pPr>
      <w:r>
        <w:rPr>
          <w:b/>
        </w:rPr>
        <w:t>Empfehlung:</w:t>
      </w:r>
      <w:r>
        <w:t xml:space="preserve"> Nachträgliche Selbstmeldung bei BNetzA (proaktive Compliance-Geste) bis 30.04.2026; Kooperation mit BNetzA im laufenden Marktüberwachungsverfahren (Az. 1-101.05-2026/MA-008).</w:t>
      </w:r>
    </w:p>
    <w:p/>
    <w:p>
      <w:pPr>
        <w:pStyle w:val="Heading2"/>
      </w:pPr>
      <w:r>
        <w:rPr>
          <w:rFonts w:ascii="Times New Roman" w:hAnsi="Times New Roman"/>
        </w:rPr>
        <w:t>5. Besondere Pflichten nach Art. 25 KI-VO (Pflichten von Betreibern)</w:t>
      </w:r>
    </w:p>
    <w:p>
      <w:pPr>
        <w:jc w:val="left"/>
      </w:pPr>
      <w:r>
        <w:t>Die 18 Kliniken als Betreiber haben eigenständige Pflichten nach Art. 25 KI-VO. Dazu gehören u.a. die Sicherstellung der menschlichen Aufsicht, die Schulung des Personals und die Meldung von Vorfällen. Obwohl dies primär Klinik-Pflichten sind, hat MedAssist AI GmbH als Anbieter die vertragliche Pflicht sicherzustellen, dass die Betreiber ihre Pflichten erfüllen können (Art. 16 lit. f KI-VO i.V.m. Art. 25 KI-VO). Dies setzt voraus, dass die Betreiberverträge entsprechende Klauseln enthalten.</w:t>
      </w:r>
    </w:p>
    <w:p>
      <w:pPr>
        <w:jc w:val="left"/>
      </w:pPr>
      <w:r>
        <w:rPr>
          <w:b/>
        </w:rPr>
        <w:t>Befund:</w:t>
      </w:r>
      <w:r>
        <w:t xml:space="preserve"> Die Betreiberverträge wurden noch nicht auf Art. 25 KI-VO-Konformität überprüft. Nachbesserungsbedarf ist wahrscheinlich.</w:t>
      </w:r>
    </w:p>
    <w:p/>
    <w:p>
      <w:pPr>
        <w:pStyle w:val="Heading2"/>
      </w:pPr>
      <w:r>
        <w:rPr>
          <w:rFonts w:ascii="Times New Roman" w:hAnsi="Times New Roman"/>
        </w:rPr>
        <w:t>6. Gesamtbewertung Art. 16</w:t>
      </w:r>
    </w:p>
    <w:p>
      <w:pPr>
        <w:jc w:val="left"/>
      </w:pPr>
      <w:r>
        <w:rPr>
          <w:b/>
        </w:rPr>
        <w:t>Art. 16 KI-VO: Erhebliche Defizite in nahezu allen Teilbereichen.</w:t>
      </w:r>
    </w:p>
    <w:p>
      <w:pPr>
        <w:jc w:val="left"/>
      </w:pPr>
      <w:r>
        <w:t>Insbesondere: kein QMS nach Art. 17, kein Post-Market-Monitoring, versäumte Meldepflichten. Konformitätsbewertung, EU-Erklärung, CE-Kennzeichnung und Registrierung stehen aus. Kritische Priorisierung im Handlungsplan.</w:t>
      </w:r>
    </w:p>
    <w:p/>
    <w:p>
      <w:pPr>
        <w:jc w:val="left"/>
      </w:pPr>
      <w:r>
        <w:rPr>
          <w:i/>
        </w:rPr>
        <w:t>Heidelberg, 12.04.2026</w:t>
      </w:r>
    </w:p>
    <w:p>
      <w:pPr>
        <w:jc w:val="left"/>
      </w:pPr>
      <w:r>
        <w:rPr>
          <w:i/>
        </w:rPr>
        <w:t>RAin Dr. Henrietta Vellbruck-Steinheim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