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13 — Art. 47 KI-VO: EU-Konformitätserklärung — Analyse und Entwurf</w:t>
      </w:r>
    </w:p>
    <w:p>
      <w:pPr>
        <w:jc w:val="left"/>
      </w:pPr>
      <w:r>
        <w:rPr>
          <w:b/>
        </w:rPr>
        <w:t>Aktenzeichen:</w:t>
      </w:r>
      <w:r>
        <w:t xml:space="preserve"> 2026-V-0427</w:t>
      </w:r>
    </w:p>
    <w:p>
      <w:pPr>
        <w:jc w:val="left"/>
      </w:pPr>
      <w:r>
        <w:rPr>
          <w:b/>
        </w:rPr>
        <w:t>Erstellt:</w:t>
      </w:r>
      <w:r>
        <w:t xml:space="preserve"> 17.04.2026</w:t>
      </w:r>
    </w:p>
    <w:p>
      <w:pPr>
        <w:jc w:val="left"/>
      </w:pPr>
      <w:r>
        <w:rPr>
          <w:b/>
        </w:rPr>
        <w:t>Bearbeitung:</w:t>
      </w:r>
      <w:r>
        <w:t xml:space="preserve"> RAin Dr. Henrietta Vellbruck-Steinheim</w:t>
      </w:r>
    </w:p>
    <w:p>
      <w:pPr>
        <w:jc w:val="left"/>
      </w:pPr>
      <w:r>
        <w:rPr>
          <w:b/>
        </w:rPr>
        <w:t>Rechtsgrundlage:</w:t>
      </w:r>
      <w:r>
        <w:t xml:space="preserve"> Art. 47 KI-VO (EU) 2024/1689</w:t>
      </w:r>
    </w:p>
    <w:p/>
    <w:p>
      <w:pPr>
        <w:pStyle w:val="Heading2"/>
      </w:pPr>
      <w:r>
        <w:rPr>
          <w:rFonts w:ascii="Times New Roman" w:hAnsi="Times New Roman"/>
        </w:rPr>
        <w:t>1. Rechtliche Anforderungen Art. 47 KI-VO</w:t>
      </w:r>
    </w:p>
    <w:p>
      <w:pPr>
        <w:jc w:val="left"/>
      </w:pPr>
      <w:r>
        <w:t>Art. 47 KI-VO verpflichtet Anbieter, vor dem Inverkehrbringen oder der Inbetriebnahme eines Hochrisiko-KI-Systems eine EU-Konformitätserklärung auszustellen. Die Erklärung muss mindestens enthalten (Art. 47 Abs. 2):</w:t>
      </w:r>
    </w:p>
    <w:p>
      <w:pPr>
        <w:pStyle w:val="ListNumber"/>
      </w:pPr>
      <w:r>
        <w:t>Name und Anschrift des Anbieters (und ggf. seines Bevollmächtigten)</w:t>
      </w:r>
    </w:p>
    <w:p>
      <w:pPr>
        <w:pStyle w:val="ListNumber"/>
      </w:pPr>
      <w:r>
        <w:t>Erklärung, dass die EU-Konformitätserklärung ausgestellt wird</w:t>
      </w:r>
    </w:p>
    <w:p>
      <w:pPr>
        <w:pStyle w:val="ListNumber"/>
      </w:pPr>
      <w:r>
        <w:t>Name und Typ des KI-Systems mit eindeutiger Kennung</w:t>
      </w:r>
    </w:p>
    <w:p>
      <w:pPr>
        <w:pStyle w:val="ListNumber"/>
      </w:pPr>
      <w:r>
        <w:t>Beschreibung des Verfahrens der Konformitätsbewertung</w:t>
      </w:r>
    </w:p>
    <w:p>
      <w:pPr>
        <w:pStyle w:val="ListNumber"/>
      </w:pPr>
      <w:r>
        <w:t>Name und Kennung der Notifizierten Stelle (falls eingeschaltet)</w:t>
      </w:r>
    </w:p>
    <w:p>
      <w:pPr>
        <w:pStyle w:val="ListNumber"/>
      </w:pPr>
      <w:r>
        <w:t>Verweis auf einschlägige harmonisierte Normen</w:t>
      </w:r>
    </w:p>
    <w:p>
      <w:pPr>
        <w:pStyle w:val="ListNumber"/>
      </w:pPr>
      <w:r>
        <w:t>Ggf. weitere angewandte Normen und technische Spezifikationen</w:t>
      </w:r>
    </w:p>
    <w:p>
      <w:pPr>
        <w:pStyle w:val="ListNumber"/>
      </w:pPr>
      <w:r>
        <w:t>Ort und Datum der Ausstellung, Unterschrift</w:t>
      </w:r>
    </w:p>
    <w:p>
      <w:pPr>
        <w:jc w:val="left"/>
      </w:pPr>
      <w:r>
        <w:t>Die EU-Konformitätserklärung muss für 10 Jahre nach dem letzten Inverkehrbringen aufbewahrt werden (Art. 47 Abs. 3 KI-VO).</w:t>
      </w:r>
    </w:p>
    <w:p/>
    <w:p>
      <w:pPr>
        <w:pStyle w:val="Heading2"/>
      </w:pPr>
      <w:r>
        <w:rPr>
          <w:rFonts w:ascii="Times New Roman" w:hAnsi="Times New Roman"/>
        </w:rPr>
        <w:t>2. Prüfung des übermittelten Entwurfs</w:t>
      </w:r>
    </w:p>
    <w:p>
      <w:pPr>
        <w:jc w:val="left"/>
      </w:pPr>
      <w:r>
        <w:t>CTO Krishnamurthy hat am 10.04.2026 einen Entwurf der EU-Konformitätserklärung übermittelt (Dokument MA-KONF-ERKL-ENTWURF-2026-01). Prüfungsergebnis: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Pflichtbestandteil Art. 47 Abs. 2</w:t>
            </w:r>
          </w:p>
        </w:tc>
        <w:tc>
          <w:tcPr>
            <w:tcW w:type="dxa" w:w="3024"/>
          </w:tcPr>
          <w:p>
            <w:r>
              <w:rPr>
                <w:rFonts w:ascii="Times New Roman" w:hAnsi="Times New Roman"/>
                <w:b/>
                <w:sz w:val="20"/>
              </w:rPr>
              <w:t>Im Entwurf</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Nr. 1 — Name/Anschrift Anbieter</w:t>
            </w:r>
          </w:p>
        </w:tc>
        <w:tc>
          <w:tcPr>
            <w:tcW w:type="dxa" w:w="3024"/>
          </w:tcPr>
          <w:p>
            <w:r>
              <w:rPr>
                <w:rFonts w:ascii="Times New Roman" w:hAnsi="Times New Roman"/>
                <w:sz w:val="20"/>
              </w:rPr>
              <w:t>Vorhanden</w:t>
            </w:r>
          </w:p>
        </w:tc>
        <w:tc>
          <w:tcPr>
            <w:tcW w:type="dxa" w:w="3024"/>
          </w:tcPr>
          <w:p>
            <w:r>
              <w:rPr>
                <w:rFonts w:ascii="Times New Roman" w:hAnsi="Times New Roman"/>
                <w:sz w:val="20"/>
              </w:rPr>
              <w:t>Konform</w:t>
            </w:r>
          </w:p>
        </w:tc>
      </w:tr>
      <w:tr>
        <w:tc>
          <w:tcPr>
            <w:tcW w:type="dxa" w:w="3024"/>
          </w:tcPr>
          <w:p>
            <w:r>
              <w:rPr>
                <w:rFonts w:ascii="Times New Roman" w:hAnsi="Times New Roman"/>
                <w:sz w:val="20"/>
              </w:rPr>
              <w:t>Nr. 2 — Erklärungsformel</w:t>
            </w:r>
          </w:p>
        </w:tc>
        <w:tc>
          <w:tcPr>
            <w:tcW w:type="dxa" w:w="3024"/>
          </w:tcPr>
          <w:p>
            <w:r>
              <w:rPr>
                <w:rFonts w:ascii="Times New Roman" w:hAnsi="Times New Roman"/>
                <w:sz w:val="20"/>
              </w:rPr>
              <w:t>Vorhanden</w:t>
            </w:r>
          </w:p>
        </w:tc>
        <w:tc>
          <w:tcPr>
            <w:tcW w:type="dxa" w:w="3024"/>
          </w:tcPr>
          <w:p>
            <w:r>
              <w:rPr>
                <w:rFonts w:ascii="Times New Roman" w:hAnsi="Times New Roman"/>
                <w:sz w:val="20"/>
              </w:rPr>
              <w:t>Konform</w:t>
            </w:r>
          </w:p>
        </w:tc>
      </w:tr>
      <w:tr>
        <w:tc>
          <w:tcPr>
            <w:tcW w:type="dxa" w:w="3024"/>
          </w:tcPr>
          <w:p>
            <w:r>
              <w:rPr>
                <w:rFonts w:ascii="Times New Roman" w:hAnsi="Times New Roman"/>
                <w:sz w:val="20"/>
              </w:rPr>
              <w:t>Nr. 3 — Name/Typ/Kennung KI-System</w:t>
            </w:r>
          </w:p>
        </w:tc>
        <w:tc>
          <w:tcPr>
            <w:tcW w:type="dxa" w:w="3024"/>
          </w:tcPr>
          <w:p>
            <w:r>
              <w:rPr>
                <w:rFonts w:ascii="Times New Roman" w:hAnsi="Times New Roman"/>
                <w:sz w:val="20"/>
              </w:rPr>
              <w:t>Teilweise</w:t>
            </w:r>
          </w:p>
        </w:tc>
        <w:tc>
          <w:tcPr>
            <w:tcW w:type="dxa" w:w="3024"/>
          </w:tcPr>
          <w:p>
            <w:r>
              <w:rPr>
                <w:rFonts w:ascii="Times New Roman" w:hAnsi="Times New Roman"/>
                <w:sz w:val="20"/>
              </w:rPr>
              <w:t>Kennung fehlt (keine eindeutige MA-ID)</w:t>
            </w:r>
          </w:p>
        </w:tc>
      </w:tr>
      <w:tr>
        <w:tc>
          <w:tcPr>
            <w:tcW w:type="dxa" w:w="3024"/>
          </w:tcPr>
          <w:p>
            <w:r>
              <w:rPr>
                <w:rFonts w:ascii="Times New Roman" w:hAnsi="Times New Roman"/>
                <w:sz w:val="20"/>
              </w:rPr>
              <w:t>Nr. 4 — Verfahrensbeschreibung Konformitätsbewertung</w:t>
            </w:r>
          </w:p>
        </w:tc>
        <w:tc>
          <w:tcPr>
            <w:tcW w:type="dxa" w:w="3024"/>
          </w:tcPr>
          <w:p>
            <w:r>
              <w:rPr>
                <w:rFonts w:ascii="Times New Roman" w:hAnsi="Times New Roman"/>
                <w:sz w:val="20"/>
              </w:rPr>
              <w:t>Fehlt</w:t>
            </w:r>
          </w:p>
        </w:tc>
        <w:tc>
          <w:tcPr>
            <w:tcW w:type="dxa" w:w="3024"/>
          </w:tcPr>
          <w:p>
            <w:r>
              <w:rPr>
                <w:rFonts w:ascii="Times New Roman" w:hAnsi="Times New Roman"/>
                <w:sz w:val="20"/>
              </w:rPr>
              <w:t>Kritisch: NB noch nicht beauftragt</w:t>
            </w:r>
          </w:p>
        </w:tc>
      </w:tr>
      <w:tr>
        <w:tc>
          <w:tcPr>
            <w:tcW w:type="dxa" w:w="3024"/>
          </w:tcPr>
          <w:p>
            <w:r>
              <w:rPr>
                <w:rFonts w:ascii="Times New Roman" w:hAnsi="Times New Roman"/>
                <w:sz w:val="20"/>
              </w:rPr>
              <w:t>Nr. 5 — NB-Name und -Kennung</w:t>
            </w:r>
          </w:p>
        </w:tc>
        <w:tc>
          <w:tcPr>
            <w:tcW w:type="dxa" w:w="3024"/>
          </w:tcPr>
          <w:p>
            <w:r>
              <w:rPr>
                <w:rFonts w:ascii="Times New Roman" w:hAnsi="Times New Roman"/>
                <w:sz w:val="20"/>
              </w:rPr>
              <w:t>Fehlt</w:t>
            </w:r>
          </w:p>
        </w:tc>
        <w:tc>
          <w:tcPr>
            <w:tcW w:type="dxa" w:w="3024"/>
          </w:tcPr>
          <w:p>
            <w:r>
              <w:rPr>
                <w:rFonts w:ascii="Times New Roman" w:hAnsi="Times New Roman"/>
                <w:sz w:val="20"/>
              </w:rPr>
              <w:t>Konsequenz aus Nr. 4</w:t>
            </w:r>
          </w:p>
        </w:tc>
      </w:tr>
      <w:tr>
        <w:tc>
          <w:tcPr>
            <w:tcW w:type="dxa" w:w="3024"/>
          </w:tcPr>
          <w:p>
            <w:r>
              <w:rPr>
                <w:rFonts w:ascii="Times New Roman" w:hAnsi="Times New Roman"/>
                <w:sz w:val="20"/>
              </w:rPr>
              <w:t>Nr. 6 — Verweis harmonisierte Normen</w:t>
            </w:r>
          </w:p>
        </w:tc>
        <w:tc>
          <w:tcPr>
            <w:tcW w:type="dxa" w:w="3024"/>
          </w:tcPr>
          <w:p>
            <w:r>
              <w:rPr>
                <w:rFonts w:ascii="Times New Roman" w:hAnsi="Times New Roman"/>
                <w:sz w:val="20"/>
              </w:rPr>
              <w:t>Lückenhaft</w:t>
            </w:r>
          </w:p>
        </w:tc>
        <w:tc>
          <w:tcPr>
            <w:tcW w:type="dxa" w:w="3024"/>
          </w:tcPr>
          <w:p>
            <w:r>
              <w:rPr>
                <w:rFonts w:ascii="Times New Roman" w:hAnsi="Times New Roman"/>
                <w:sz w:val="20"/>
              </w:rPr>
              <w:t>Nur ISO 9001; ISO 62304, ISO 14971 fehlen</w:t>
            </w:r>
          </w:p>
        </w:tc>
      </w:tr>
      <w:tr>
        <w:tc>
          <w:tcPr>
            <w:tcW w:type="dxa" w:w="3024"/>
          </w:tcPr>
          <w:p>
            <w:r>
              <w:rPr>
                <w:rFonts w:ascii="Times New Roman" w:hAnsi="Times New Roman"/>
                <w:sz w:val="20"/>
              </w:rPr>
              <w:t>Nr. 7 — Weitere Normen/Spezifikationen</w:t>
            </w:r>
          </w:p>
        </w:tc>
        <w:tc>
          <w:tcPr>
            <w:tcW w:type="dxa" w:w="3024"/>
          </w:tcPr>
          <w:p>
            <w:r>
              <w:rPr>
                <w:rFonts w:ascii="Times New Roman" w:hAnsi="Times New Roman"/>
                <w:sz w:val="20"/>
              </w:rPr>
              <w:t>Lückenhaft</w:t>
            </w:r>
          </w:p>
        </w:tc>
        <w:tc>
          <w:tcPr>
            <w:tcW w:type="dxa" w:w="3024"/>
          </w:tcPr>
          <w:p>
            <w:r>
              <w:rPr>
                <w:rFonts w:ascii="Times New Roman" w:hAnsi="Times New Roman"/>
                <w:sz w:val="20"/>
              </w:rPr>
              <w:t>ENISA-Leitlinien nicht erwähnt</w:t>
            </w:r>
          </w:p>
        </w:tc>
      </w:tr>
      <w:tr>
        <w:tc>
          <w:tcPr>
            <w:tcW w:type="dxa" w:w="3024"/>
          </w:tcPr>
          <w:p>
            <w:r>
              <w:rPr>
                <w:rFonts w:ascii="Times New Roman" w:hAnsi="Times New Roman"/>
                <w:sz w:val="20"/>
              </w:rPr>
              <w:t>Nr. 8 — Ort, Datum, Unterschrift</w:t>
            </w:r>
          </w:p>
        </w:tc>
        <w:tc>
          <w:tcPr>
            <w:tcW w:type="dxa" w:w="3024"/>
          </w:tcPr>
          <w:p>
            <w:r>
              <w:rPr>
                <w:rFonts w:ascii="Times New Roman" w:hAnsi="Times New Roman"/>
                <w:sz w:val="20"/>
              </w:rPr>
              <w:t>Noch leer</w:t>
            </w:r>
          </w:p>
        </w:tc>
        <w:tc>
          <w:tcPr>
            <w:tcW w:type="dxa" w:w="3024"/>
          </w:tcPr>
          <w:p>
            <w:r>
              <w:rPr>
                <w:rFonts w:ascii="Times New Roman" w:hAnsi="Times New Roman"/>
                <w:sz w:val="20"/>
              </w:rPr>
              <w:t>Noch nicht unterzeichnet</w:t>
            </w:r>
          </w:p>
        </w:tc>
      </w:tr>
    </w:tbl>
    <w:p>
      <w:pPr>
        <w:jc w:val="left"/>
      </w:pPr>
      <w:r>
        <w:rPr>
          <w:b/>
        </w:rPr>
        <w:t>Bewertung:</w:t>
      </w:r>
      <w:r>
        <w:t xml:space="preserve"> Der Entwurf ist nicht fertigstellungsreif. Er kann erst nach Abschluss des Konformitätsbewertungsverfahrens (Art. 43) und NB-Zertifizierung finalisiert werden.</w:t>
      </w:r>
    </w:p>
    <w:p/>
    <w:p>
      <w:pPr>
        <w:pStyle w:val="Heading2"/>
      </w:pPr>
      <w:r>
        <w:rPr>
          <w:rFonts w:ascii="Times New Roman" w:hAnsi="Times New Roman"/>
        </w:rPr>
        <w:t>3. Unterzeichnungsberechtigte</w:t>
      </w:r>
    </w:p>
    <w:p>
      <w:pPr>
        <w:jc w:val="left"/>
      </w:pPr>
      <w:r>
        <w:t>Die EU-Konformitätserklärung muss von der verantwortlichen natürlichen Person beim Anbieter unterzeichnet werden. Bei der MedAssist AI GmbH ist dies CEO Dr. Theresia Vogelkamp (einzelvertretungsberechtigt). Eine Delegation an CTO Krishnamurthy wäre nur mit gesonderter Vollmacht möglich.</w:t>
      </w:r>
    </w:p>
    <w:p>
      <w:pPr>
        <w:jc w:val="left"/>
      </w:pPr>
      <w:r>
        <w:rPr>
          <w:b/>
        </w:rPr>
        <w:t>Empfehlung:</w:t>
      </w:r>
      <w:r>
        <w:t xml:space="preserve"> Da die EU-Konformitätserklärung ein Dokument mit erheblicher Rechtswirkung ist (Grundlage für CE-Kennzeichnung und EU-Datenbankregistrierung), sollte nur CEO Dr. Vogelkamp unterzeichnen.</w:t>
      </w:r>
    </w:p>
    <w:p/>
    <w:p>
      <w:pPr>
        <w:pStyle w:val="Heading2"/>
      </w:pPr>
      <w:r>
        <w:rPr>
          <w:rFonts w:ascii="Times New Roman" w:hAnsi="Times New Roman"/>
        </w:rPr>
        <w:t>4. Koordination mit MDR-Konformitätserklärung</w:t>
      </w:r>
    </w:p>
    <w:p>
      <w:pPr>
        <w:jc w:val="left"/>
      </w:pPr>
      <w:r>
        <w:t>MedAssist AI GmbH hat am 18.12.2025 auch eine EU-Konformitätserklärung nach Art. 19 MDR ausgestellt (Bezugnahme auf TÜV-SÜD-Zertifikat NB 0123, Az. MDR-2025-08812). Diese MDR-Erklärung ist separat von der KI-VO-Konformitätserklärung und kann nicht kombiniert werden (unterschiedliche Rechtsnormen, unterschiedliche NB-Kennungen möglich). Empfohlen wird, beide Erklärungen in der Technischen Dokumentation nebeneinander zu führen und aufeinander zu verweisen.</w:t>
      </w:r>
    </w:p>
    <w:p/>
    <w:p>
      <w:pPr>
        <w:pStyle w:val="Heading2"/>
      </w:pPr>
      <w:r>
        <w:rPr>
          <w:rFonts w:ascii="Times New Roman" w:hAnsi="Times New Roman"/>
        </w:rPr>
        <w:t>5. Handlungsplan EU-Konformitätserklärung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Frist</w:t>
            </w:r>
          </w:p>
        </w:tc>
      </w:tr>
      <w:tr>
        <w:tc>
          <w:tcPr>
            <w:tcW w:type="dxa" w:w="4536"/>
          </w:tcPr>
          <w:p>
            <w:r>
              <w:rPr>
                <w:rFonts w:ascii="Times New Roman" w:hAnsi="Times New Roman"/>
                <w:sz w:val="20"/>
              </w:rPr>
              <w:t>NB (TÜV SÜD) beauftragen</w:t>
            </w:r>
          </w:p>
        </w:tc>
        <w:tc>
          <w:tcPr>
            <w:tcW w:type="dxa" w:w="4536"/>
          </w:tcPr>
          <w:p>
            <w:r>
              <w:rPr>
                <w:rFonts w:ascii="Times New Roman" w:hAnsi="Times New Roman"/>
                <w:sz w:val="20"/>
              </w:rPr>
              <w:t>15.05.2026</w:t>
            </w:r>
          </w:p>
        </w:tc>
      </w:tr>
      <w:tr>
        <w:tc>
          <w:tcPr>
            <w:tcW w:type="dxa" w:w="4536"/>
          </w:tcPr>
          <w:p>
            <w:r>
              <w:rPr>
                <w:rFonts w:ascii="Times New Roman" w:hAnsi="Times New Roman"/>
                <w:sz w:val="20"/>
              </w:rPr>
              <w:t>Eindeutige Systemkennung (MA-ID) festlegen und dokumentieren</w:t>
            </w:r>
          </w:p>
        </w:tc>
        <w:tc>
          <w:tcPr>
            <w:tcW w:type="dxa" w:w="4536"/>
          </w:tcPr>
          <w:p>
            <w:r>
              <w:rPr>
                <w:rFonts w:ascii="Times New Roman" w:hAnsi="Times New Roman"/>
                <w:sz w:val="20"/>
              </w:rPr>
              <w:t>30.04.2026</w:t>
            </w:r>
          </w:p>
        </w:tc>
      </w:tr>
      <w:tr>
        <w:tc>
          <w:tcPr>
            <w:tcW w:type="dxa" w:w="4536"/>
          </w:tcPr>
          <w:p>
            <w:r>
              <w:rPr>
                <w:rFonts w:ascii="Times New Roman" w:hAnsi="Times New Roman"/>
                <w:sz w:val="20"/>
              </w:rPr>
              <w:t>Normverzeichnis vervollständigen</w:t>
            </w:r>
          </w:p>
        </w:tc>
        <w:tc>
          <w:tcPr>
            <w:tcW w:type="dxa" w:w="4536"/>
          </w:tcPr>
          <w:p>
            <w:r>
              <w:rPr>
                <w:rFonts w:ascii="Times New Roman" w:hAnsi="Times New Roman"/>
                <w:sz w:val="20"/>
              </w:rPr>
              <w:t>31.05.2026</w:t>
            </w:r>
          </w:p>
        </w:tc>
      </w:tr>
      <w:tr>
        <w:tc>
          <w:tcPr>
            <w:tcW w:type="dxa" w:w="4536"/>
          </w:tcPr>
          <w:p>
            <w:r>
              <w:rPr>
                <w:rFonts w:ascii="Times New Roman" w:hAnsi="Times New Roman"/>
                <w:sz w:val="20"/>
              </w:rPr>
              <w:t>Entwurf nach NB-Zertifizierung finalisieren</w:t>
            </w:r>
          </w:p>
        </w:tc>
        <w:tc>
          <w:tcPr>
            <w:tcW w:type="dxa" w:w="4536"/>
          </w:tcPr>
          <w:p>
            <w:r>
              <w:rPr>
                <w:rFonts w:ascii="Times New Roman" w:hAnsi="Times New Roman"/>
                <w:sz w:val="20"/>
              </w:rPr>
              <w:t>August 2026</w:t>
            </w:r>
          </w:p>
        </w:tc>
      </w:tr>
      <w:tr>
        <w:tc>
          <w:tcPr>
            <w:tcW w:type="dxa" w:w="4536"/>
          </w:tcPr>
          <w:p>
            <w:r>
              <w:rPr>
                <w:rFonts w:ascii="Times New Roman" w:hAnsi="Times New Roman"/>
                <w:sz w:val="20"/>
              </w:rPr>
              <w:t>Unterzeichnung durch CEO Dr. Vogelkamp</w:t>
            </w:r>
          </w:p>
        </w:tc>
        <w:tc>
          <w:tcPr>
            <w:tcW w:type="dxa" w:w="4536"/>
          </w:tcPr>
          <w:p>
            <w:r>
              <w:rPr>
                <w:rFonts w:ascii="Times New Roman" w:hAnsi="Times New Roman"/>
                <w:sz w:val="20"/>
              </w:rPr>
              <w:t>August 2026</w:t>
            </w:r>
          </w:p>
        </w:tc>
      </w:tr>
      <w:tr>
        <w:tc>
          <w:tcPr>
            <w:tcW w:type="dxa" w:w="4536"/>
          </w:tcPr>
          <w:p>
            <w:r>
              <w:rPr>
                <w:rFonts w:ascii="Times New Roman" w:hAnsi="Times New Roman"/>
                <w:sz w:val="20"/>
              </w:rPr>
              <w:t>Aufbewahrung 10 Jahre (elektronisch signiert)</w:t>
            </w:r>
          </w:p>
        </w:tc>
        <w:tc>
          <w:tcPr>
            <w:tcW w:type="dxa" w:w="4536"/>
          </w:tcPr>
          <w:p>
            <w:r>
              <w:rPr>
                <w:rFonts w:ascii="Times New Roman" w:hAnsi="Times New Roman"/>
                <w:sz w:val="20"/>
              </w:rPr>
              <w:t>Ab Unterzeichnung</w:t>
            </w:r>
          </w:p>
        </w:tc>
      </w:tr>
    </w:tbl>
    <w:p/>
    <w:p>
      <w:pPr>
        <w:pStyle w:val="Heading2"/>
      </w:pPr>
      <w:r>
        <w:rPr>
          <w:rFonts w:ascii="Times New Roman" w:hAnsi="Times New Roman"/>
        </w:rPr>
        <w:t>6. Gesamtbewertung Art. 47</w:t>
      </w:r>
    </w:p>
    <w:p>
      <w:pPr>
        <w:jc w:val="left"/>
      </w:pPr>
      <w:r>
        <w:rPr>
          <w:b/>
        </w:rPr>
        <w:t>Art. 47 KI-VO: Entwurf vorhanden, aber nicht finalisierbar vor NB-Zertifizierung.</w:t>
      </w:r>
    </w:p>
    <w:p>
      <w:pPr>
        <w:jc w:val="left"/>
      </w:pPr>
      <w:r>
        <w:t>Keine Verletzung des Finalitätserfordernisses zum gegenwärtigen Zeitpunkt (Zertifizierung noch offen). Kritische Lücken im Entwurf müssen bis Abschluss NB-Verfahren behoben werden.</w:t>
      </w:r>
    </w:p>
    <w:p/>
    <w:p>
      <w:pPr>
        <w:jc w:val="left"/>
      </w:pPr>
      <w:r>
        <w:rPr>
          <w:i/>
        </w:rPr>
        <w:t>Heidelberg, 17.04.2026</w:t>
      </w:r>
    </w:p>
    <w:p>
      <w:pPr>
        <w:jc w:val="left"/>
      </w:pPr>
      <w:r>
        <w:rPr>
          <w:i/>
        </w:rPr>
        <w:t>RAin Dr. Henrietta Vellbruck-Steinheim — Az. 2026-V-0427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