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17 — BNetzA: Marktüberwachung KI-VO, Verfahrensstand, Auskunftspflicht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BNetzA-Verfahren:</w:t>
      </w:r>
      <w:r>
        <w:t xml:space="preserve"> 1-101.05-2026/MA-008</w:t>
      </w:r>
    </w:p>
    <w:p>
      <w:pPr>
        <w:jc w:val="left"/>
      </w:pPr>
      <w:r>
        <w:rPr>
          <w:b/>
        </w:rPr>
        <w:t>Erstellt:</w:t>
      </w:r>
      <w:r>
        <w:t xml:space="preserve"> 25.04.2026</w:t>
      </w:r>
    </w:p>
    <w:p>
      <w:pPr>
        <w:jc w:val="left"/>
      </w:pPr>
      <w:r>
        <w:rPr>
          <w:b/>
        </w:rPr>
        <w:t>Bearbeitung:</w:t>
      </w:r>
      <w:r>
        <w:t xml:space="preserve"> RAin Dr. Henrietta Vellbruck-Steinheim</w:t>
      </w:r>
    </w:p>
    <w:p>
      <w:pPr>
        <w:jc w:val="left"/>
      </w:pPr>
      <w:r>
        <w:rPr>
          <w:b/>
        </w:rPr>
        <w:t>Rechtsgrundlage:</w:t>
      </w:r>
      <w:r>
        <w:t xml:space="preserve"> Art. 74 ff. KI-VO (EU) 2024/1689; KI-VO-Durchführungsgesetz (KI-VoDG, in Kraft ab 01.01.2026)</w:t>
      </w:r>
    </w:p>
    <w:p/>
    <w:p>
      <w:pPr>
        <w:pStyle w:val="Heading2"/>
      </w:pPr>
      <w:r>
        <w:rPr>
          <w:rFonts w:ascii="Times New Roman" w:hAnsi="Times New Roman"/>
        </w:rPr>
        <w:t>1. Zuständigkeit der BNetzA</w:t>
      </w:r>
    </w:p>
    <w:p>
      <w:pPr>
        <w:jc w:val="left"/>
      </w:pPr>
      <w:r>
        <w:t>Durch das deutsche KI-VO-Durchführungsgesetz (KI-VoDG) vom 15.12.2025 (BGBl. I 2025, S. 4812) wurde die Bundesnetzagentur (BNetzA) als nationale Marktüberwachungsbehörde für den Großteil der KI-VO-Sachverhalte bestimmt, mit Ausnahmen zugunsten der BaFin (Finanzsektor) und des BfArM (Medizinprodukte-Spezialfragen). Die BNetzA hat innerhalb der EU als Marktüberwachungsbehörde die Befugnisse nach Art. 74–80 KI-VO, insbesondere:</w:t>
      </w:r>
    </w:p>
    <w:p>
      <w:pPr>
        <w:pStyle w:val="ListBullet"/>
      </w:pPr>
      <w:r>
        <w:t>Dokumentenanforderung (Art. 74 Abs. 4)</w:t>
      </w:r>
    </w:p>
    <w:p>
      <w:pPr>
        <w:pStyle w:val="ListBullet"/>
      </w:pPr>
      <w:r>
        <w:t>Vor-Ort-Besichtigung (Art. 74 Abs. 5)</w:t>
      </w:r>
    </w:p>
    <w:p>
      <w:pPr>
        <w:pStyle w:val="ListBullet"/>
      </w:pPr>
      <w:r>
        <w:t>Vorläufige Maßnahmen (Art. 79)</w:t>
      </w:r>
    </w:p>
    <w:p>
      <w:pPr>
        <w:pStyle w:val="ListBullet"/>
      </w:pPr>
      <w:r>
        <w:t>Rückruf, Marktrücknahme (Art. 80)</w:t>
      </w:r>
    </w:p>
    <w:p>
      <w:pPr>
        <w:pStyle w:val="ListBullet"/>
      </w:pPr>
      <w:r>
        <w:t>Bußgeldempfehlung an die EU-KI-Behörde (Bußgelder nach Art. 99 KI-VO)</w:t>
      </w:r>
    </w:p>
    <w:p/>
    <w:p>
      <w:pPr>
        <w:pStyle w:val="Heading2"/>
      </w:pPr>
      <w:r>
        <w:rPr>
          <w:rFonts w:ascii="Times New Roman" w:hAnsi="Times New Roman"/>
        </w:rPr>
        <w:t>2. Verfahrensstand BNetzA Az. 1-101.05-2026/MA-008</w:t>
      </w:r>
    </w:p>
    <w:p>
      <w:pPr>
        <w:pStyle w:val="Heading3"/>
      </w:pPr>
      <w:r>
        <w:rPr>
          <w:rFonts w:ascii="Times New Roman" w:hAnsi="Times New Roman"/>
        </w:rPr>
        <w:t>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BNetzA eröffnet Marktüberwachungsverfahren nach Art. 74 KI-VO auf Basis der DiagnoFlow-Beschwerde (DG CONNECT, weitergeleitet an BNetzA)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BNetzA-Eröffnungsschreiben an MedAssist AI GmbH; Aufforderung zur Stellungnahme binnen 4 Wochen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Mandatserteilung Vellbruck &amp; Partner; Vollmacht an BNetzA übermittelt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Erstes Auskunftsersuchen BNetzA: Anforderung techn. Dokumentation, Risikoanalyse, Logging-Daten, Liste Betreiber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Teilantwort MedAssist AI GmbH: techn. Dokumentation (unvollständig), Risikoanalyse MA-RISK-2024-01, Logging-Export 18 Kliniken (ohne Disponenten-ID)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BNetzA: Nachforderung — Disponenten-ID-Daten, Nachweise menschliche Aufsicht, Trainingsdatendokumentation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Vellbruck-Steinheim antwortet für Mandanten: Disponenten-ID-Logs in 14 Kliniken noch nicht vorhanden (technischer Fehler); Fristbitte bis 30.04.2026 für Nachlieferung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BNetzA gewährt Fristverlängerung bis 07.05.2026, kündigt aber Vor-Ort-Besichtigung 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BNetzA kündigt Vor-Ort-Besichtigung Klinikum Mannheim-Süd für 12.05.2026 an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Vorbereitung Vor-Ort-Besichtigung (12.05.2026)</w:t>
      </w:r>
    </w:p>
    <w:p>
      <w:pPr>
        <w:pStyle w:val="Heading3"/>
      </w:pPr>
      <w:r>
        <w:rPr>
          <w:rFonts w:ascii="Times New Roman" w:hAnsi="Times New Roman"/>
        </w:rPr>
        <w:t>3.1 Gegenstand der Besichtigung</w:t>
      </w:r>
    </w:p>
    <w:p>
      <w:pPr>
        <w:jc w:val="left"/>
      </w:pPr>
      <w:r>
        <w:t>Die BNetzA hat den Besichtigungsgegenstand definiert als:</w:t>
      </w:r>
    </w:p>
    <w:p>
      <w:pPr>
        <w:pStyle w:val="ListBullet"/>
      </w:pPr>
      <w:r>
        <w:t>Überprüfung des Leitstellen-Dashboards (Art. 14-Aufsichtsmechanismus)</w:t>
      </w:r>
    </w:p>
    <w:p>
      <w:pPr>
        <w:pStyle w:val="ListBullet"/>
      </w:pPr>
      <w:r>
        <w:t>Einsicht in Logging-Daten vor Ort (Art. 12)</w:t>
      </w:r>
    </w:p>
    <w:p>
      <w:pPr>
        <w:pStyle w:val="ListBullet"/>
      </w:pPr>
      <w:r>
        <w:t>Gespräch mit dem lokalen Disponenten-Team (Schulungsstand)</w:t>
      </w:r>
    </w:p>
    <w:p>
      <w:pPr>
        <w:pStyle w:val="Heading3"/>
      </w:pPr>
      <w:r>
        <w:rPr>
          <w:rFonts w:ascii="Times New Roman" w:hAnsi="Times New Roman"/>
        </w:rPr>
        <w:t>3.2 Empfehlungen zur Besichtigungsvorbereitung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Sicherstellen, dass Quittierungsschritt (Beta) in Klinikum Mannheim-Süd aktiv 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Kurzbriefing Disponenten-Team Mannheim-Süd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Klinikum + Dr. Vellbruck-Steinheim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Rechtsanwalt vor Ort (Dr. Vellbruck-Steinheim)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Logging-Daten bereinigen und aufbereiten für BNetzA-Einsicht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spontanen Aussagen zu Art. 14-Defiziten durch Klinikpersonal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Briefing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</w:tr>
    </w:tbl>
    <w:p>
      <w:pPr>
        <w:jc w:val="left"/>
      </w:pPr>
      <w:r>
        <w:rPr>
          <w:b/>
        </w:rPr>
        <w:t>Hinweis:</w:t>
      </w:r>
      <w:r>
        <w:t xml:space="preserve"> Die BNetzA kann gemäß Art. 74 Abs. 5 KI-VO Systemzugang verlangen und Testläufe durchführen. MedAssist AI GmbH ist zur Kooperation verpflichtet; eine Verweigerung der Kooperation kann als erschwerender Umstand im Bußgeldverfahren gewertet werden.</w:t>
      </w:r>
    </w:p>
    <w:p/>
    <w:p>
      <w:pPr>
        <w:pStyle w:val="Heading2"/>
      </w:pPr>
      <w:r>
        <w:rPr>
          <w:rFonts w:ascii="Times New Roman" w:hAnsi="Times New Roman"/>
        </w:rPr>
        <w:t>4. Bußgeldrahmen (Art. 99 KI-VO)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Verstoß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Bußgeldrahmen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Nicht-Konformität des KI-Systems (Art. 5, 10, 13, 14, 15)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15 Mio. EUR oder 3 % des weltweiten Jahresumsatzes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Fehler im Konformitätsbewertungsverfahren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15 Mio. EUR oder 3 %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Fehlinformationen gegenüber Behörden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7,5 Mio. EUR oder 1,5 %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Verstöße gegen Transparenzpflichten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7,5 Mio. EUR oder 1,5 %</w:t>
            </w:r>
          </w:p>
        </w:tc>
      </w:tr>
    </w:tbl>
    <w:p>
      <w:pPr>
        <w:jc w:val="left"/>
      </w:pPr>
      <w:r>
        <w:t>MedAssist AI GmbH hat laut Jahresbericht 2024 einen weltweiten Jahresumsatz von ca. 48 Mio. EUR. Relevante Bußgeldobergrenzen damit: 15 Mio. EUR (für Art. 10, 13, 14, 15-Verstöße) bzw. ca. 1,44 Mio. EUR (3 % von 48 Mio.) — Bußgeld wird auf den höheren Wert festgesetzt, hier 15 Mio. EUR.</w:t>
      </w:r>
    </w:p>
    <w:p/>
    <w:p>
      <w:pPr>
        <w:pStyle w:val="Heading2"/>
      </w:pPr>
      <w:r>
        <w:rPr>
          <w:rFonts w:ascii="Times New Roman" w:hAnsi="Times New Roman"/>
        </w:rPr>
        <w:t>5. Kooperationsstrategie</w:t>
      </w:r>
    </w:p>
    <w:p>
      <w:pPr>
        <w:jc w:val="left"/>
      </w:pPr>
      <w:r>
        <w:t>Dr. Vellbruck-Steinheim empfiehlt gegenüber der BNetzA eine transparente Kooperationsstrategie:</w:t>
      </w:r>
    </w:p>
    <w:p>
      <w:pPr>
        <w:pStyle w:val="ListBullet"/>
      </w:pPr>
      <w:r>
        <w:t>Vollständige Offenlegung der identifizierten Mängel</w:t>
      </w:r>
    </w:p>
    <w:p>
      <w:pPr>
        <w:pStyle w:val="ListBullet"/>
      </w:pPr>
      <w:r>
        <w:t>Vorlage des Handlungsplans (Aktenstück 20)</w:t>
      </w:r>
    </w:p>
    <w:p>
      <w:pPr>
        <w:pStyle w:val="ListBullet"/>
      </w:pPr>
      <w:r>
        <w:t>Proaktive Demonstration eingeleiteter Maßnahmen (Quittierungsschritt-Rollout bis 30.04.2026)</w:t>
      </w:r>
    </w:p>
    <w:p>
      <w:pPr>
        <w:jc w:val="left"/>
      </w:pPr>
      <w:r>
        <w:t>Diese Strategie kann bußgeldmindernd wirken (vgl. Art. 99 Abs. 6 KI-VO: Berücksichtigung kooperativen Verhaltens).</w:t>
      </w:r>
    </w:p>
    <w:p/>
    <w:p>
      <w:pPr>
        <w:jc w:val="left"/>
      </w:pPr>
      <w:r>
        <w:rPr>
          <w:i/>
        </w:rPr>
        <w:t>Heidelberg, 25.04.2026</w:t>
      </w:r>
    </w:p>
    <w:p>
      <w:pPr>
        <w:jc w:val="left"/>
      </w:pPr>
      <w:r>
        <w:rPr>
          <w:i/>
        </w:rPr>
        <w:t>RAin Dr. Henrietta Vellbruck-Steinheim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