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19 — GPAI-Basiskomponente: Llama-Adaptation, Art. 53 KI-VO, Systemcard</w:t>
      </w:r>
    </w:p>
    <w:p>
      <w:pPr>
        <w:jc w:val="left"/>
      </w:pPr>
      <w:r>
        <w:rPr>
          <w:b/>
        </w:rPr>
        <w:t>Aktenzeichen:</w:t>
      </w:r>
      <w:r>
        <w:t xml:space="preserve"> 2026-V-0427</w:t>
      </w:r>
    </w:p>
    <w:p>
      <w:pPr>
        <w:jc w:val="left"/>
      </w:pPr>
      <w:r>
        <w:rPr>
          <w:b/>
        </w:rPr>
        <w:t>Erstellt:</w:t>
      </w:r>
      <w:r>
        <w:t xml:space="preserve"> 28.04.2026</w:t>
      </w:r>
    </w:p>
    <w:p>
      <w:pPr>
        <w:jc w:val="left"/>
      </w:pPr>
      <w:r>
        <w:rPr>
          <w:b/>
        </w:rPr>
        <w:t>Bearbeitung:</w:t>
      </w:r>
      <w:r>
        <w:t xml:space="preserve"> RA Dr. Mark Roosendaal</w:t>
      </w:r>
    </w:p>
    <w:p>
      <w:pPr>
        <w:jc w:val="left"/>
      </w:pPr>
      <w:r>
        <w:rPr>
          <w:b/>
        </w:rPr>
        <w:t>Rechtsgrundlage:</w:t>
      </w:r>
      <w:r>
        <w:t xml:space="preserve"> Art. 3 Nr. 63, Art. 51–55 KI-VO (EU) 2024/1689 (GPAI-Modelle)</w:t>
      </w:r>
    </w:p>
    <w:p/>
    <w:p>
      <w:pPr>
        <w:pStyle w:val="Heading2"/>
      </w:pPr>
      <w:r>
        <w:rPr>
          <w:rFonts w:ascii="Times New Roman" w:hAnsi="Times New Roman"/>
        </w:rPr>
        <w:t>1. Rechtlicher Rahmen: GPAI-Modelle nach KI-VO</w:t>
      </w:r>
    </w:p>
    <w:p>
      <w:pPr>
        <w:jc w:val="left"/>
      </w:pPr>
      <w:r>
        <w:t>Die KI-VO reguliert in Kapitel V (Art. 51–55) erstmals explizit sogenannte Allzweck-KI-Modelle (GPAI — General Purpose AI). Ein GPAI-Modell i.S.d. Art. 3 Nr. 63 KI-VO ist ein KI-Modell, das mit einer großen Datenmenge trainiert wurde, auf breiter Basis verfügbar ist und eine Vielzahl von Aufgaben erfüllen kann.</w:t>
      </w:r>
    </w:p>
    <w:p>
      <w:pPr>
        <w:jc w:val="left"/>
      </w:pPr>
      <w:r>
        <w:rPr>
          <w:b/>
        </w:rPr>
        <w:t>Relevanz für MedAssist v4:</w:t>
      </w:r>
      <w:r>
        <w:t xml:space="preserve"> Die NLU-Kernkomponente „MedAssist-LLM-Core v4" basiert auf Llama-3.1-70B-Instruct von Meta AI, das durch Fine-Tuning auf medizinische Notfalldaten angepasst wurde. Llama-3.1 ist ein anerkanntes GPAI-Modell; das Fine-Tuning ändert nichts an dieser Grundnatur.</w:t>
      </w:r>
    </w:p>
    <w:p/>
    <w:p>
      <w:pPr>
        <w:pStyle w:val="Heading2"/>
      </w:pPr>
      <w:r>
        <w:rPr>
          <w:rFonts w:ascii="Times New Roman" w:hAnsi="Times New Roman"/>
        </w:rPr>
        <w:t>2. GPAI-Anbieterpflichten (Art. 53 KI-VO)</w:t>
      </w:r>
    </w:p>
    <w:p>
      <w:pPr>
        <w:jc w:val="left"/>
      </w:pPr>
      <w:r>
        <w:t>Art. 53 KI-VO verpflichtet GPAI-Modellanbieter zu: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Pflicht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Art. 53 Abs.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Erfüllungsort bei MedAssist v4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Technische Dokumentation des Modells (Systemcard)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53 Abs. 1 lit. 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Meta AI (Llama-Anbieter) — nicht MedAssist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Informationen für nachgelagerte Anbieter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53 Abs. 1 lit. 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Meta AI; zu prüfen ob MedAssist weiterverpflichtet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Urheberrechtsrichtlinien-konformes Training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53 Abs. 1 lit. c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Meta AI (Training Llama-3.1)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Zusammenfassung Trainingsinhalte (öffentlich)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53 Abs. 1 lit. 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Meta AI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2.1 Differenzierung: Meta AI vs. MedAssist AI GmbH als GPAI-Anbieter</w:t>
      </w:r>
    </w:p>
    <w:p>
      <w:pPr>
        <w:jc w:val="left"/>
      </w:pPr>
      <w:r>
        <w:rPr>
          <w:b/>
        </w:rPr>
        <w:t>Grundsatz:</w:t>
      </w:r>
      <w:r>
        <w:t xml:space="preserve"> Der GPAI-Anbieter ist die Partei, die das Modell trainiert und in Verkehr bringt. Bei reinem Downstream-Fine-Tuning (Anpassung des vortrainierten Modells) stellt sich die Frage, ob der Fine-Tuner selbst zum GPAI-Anbieter wird.</w:t>
      </w:r>
    </w:p>
    <w:p>
      <w:pPr>
        <w:jc w:val="left"/>
      </w:pPr>
      <w:r>
        <w:rPr>
          <w:b/>
        </w:rPr>
        <w:t>Rechtseinschätzung:</w:t>
      </w:r>
      <w:r>
        <w:t xml:space="preserve"> Nach Art. 3 Nr. 63 i.V.m. Art. 51 Abs. 2 KI-VO: Wer ein GPAI-Modell durch Fine-Tuning wesentlich modifiziert, übernimmt die Anbieterstellung für das modifizierte Modell, sofern das Resultat weiterhin als GPAI-Modell einzustufen ist (d.h. generalistische Verwendbarkeit wäre erhalten).</w:t>
      </w:r>
    </w:p>
    <w:p>
      <w:pPr>
        <w:jc w:val="left"/>
      </w:pPr>
      <w:r>
        <w:rPr>
          <w:b/>
        </w:rPr>
        <w:t>MedAssist AI GmbHs Position:</w:t>
      </w:r>
      <w:r>
        <w:t xml:space="preserve"> Das Fine-Tuning wurde ausschließlich auf medizinische Notfallkommunikation ausgerichtet. MedAssist-LLM-Core v4 hat damit keine generalistische Verwendbarkeit mehr — es ist ein spezialisiertes Anwendungsmodell, kein GPAI-Modell. Damit entfallen die GPAI-Anbieterpflichten nach Art. 53 KI-VO für MedAssist AI GmbH.</w:t>
      </w:r>
    </w:p>
    <w:p>
      <w:pPr>
        <w:jc w:val="left"/>
      </w:pPr>
      <w:r>
        <w:rPr>
          <w:b/>
        </w:rPr>
        <w:t>Jedoch (kritischer Befund):</w:t>
      </w:r>
      <w:r>
        <w:t xml:space="preserve"> Die Nutzung des GPAI-Modells Llama-3.1 als Basis verpflichtet MedAssist AI GmbH als nachgelagerter Anbieter nach Art. 11 Abs. 3 KI-VO, die vom Llama-Anbieter (Meta AI) bereitgestellten Informationen in die eigene technische Dokumentation zu integrieren. Dies ist bislang nicht erfolgt.</w:t>
      </w:r>
    </w:p>
    <w:p/>
    <w:p>
      <w:pPr>
        <w:pStyle w:val="Heading2"/>
      </w:pPr>
      <w:r>
        <w:rPr>
          <w:rFonts w:ascii="Times New Roman" w:hAnsi="Times New Roman"/>
        </w:rPr>
        <w:t>3. Verfügbare Llama-3.1-GPAI-Dokumentation von Meta AI</w:t>
      </w:r>
    </w:p>
    <w:p>
      <w:pPr>
        <w:jc w:val="left"/>
      </w:pPr>
      <w:r>
        <w:t>Meta AI hat für Llama-3.1 folgende Dokumentation veröffentlicht (Stand April 2026):</w:t>
      </w:r>
    </w:p>
    <w:p>
      <w:pPr>
        <w:pStyle w:val="ListBullet"/>
      </w:pPr>
      <w:r>
        <w:rPr>
          <w:b/>
        </w:rPr>
        <w:t>System Card Llama 3.1:</w:t>
      </w:r>
      <w:r>
        <w:t xml:space="preserve"> https://ai.meta.com/llama — enthält Trainingsarchitektur, Datenanmerkungen, Evaluierungsergebnisse, Sicherheitsbewertungen</w:t>
      </w:r>
    </w:p>
    <w:p>
      <w:pPr>
        <w:pStyle w:val="ListBullet"/>
      </w:pPr>
      <w:r>
        <w:rPr>
          <w:b/>
        </w:rPr>
        <w:t>Acceptable Use Policy:</w:t>
      </w:r>
      <w:r>
        <w:t xml:space="preserve"> Einschränkungen für Hochrisiko-Anwendungen (u.a. medizinische Diagnose ohne menschliche Aufsicht explizit eingeschränkt)</w:t>
      </w:r>
    </w:p>
    <w:p>
      <w:pPr>
        <w:pStyle w:val="ListBullet"/>
      </w:pPr>
      <w:r>
        <w:rPr>
          <w:b/>
        </w:rPr>
        <w:t>RAIL-Lizenzbedingungen:</w:t>
      </w:r>
      <w:r>
        <w:t xml:space="preserve"> Nutzungseinschränkungen für bestimmte Anwendungsfälle</w:t>
      </w:r>
    </w:p>
    <w:p>
      <w:pPr>
        <w:jc w:val="left"/>
      </w:pPr>
      <w:r>
        <w:rPr>
          <w:b/>
        </w:rPr>
        <w:t>Kritischer Befund:</w:t>
      </w:r>
      <w:r>
        <w:t xml:space="preserve"> Die Acceptable Use Policy von Llama-3.1 schließt die eigenständige medizinische Diagnose ohne menschliche Aufsicht aus. MedAssist v4 bewegt sich in einem Grenzbereich: Die Notrufdisposition ist keine „Diagnose" im klinischen Sinne, enthält aber klassifikatorische Urteile mit medizinischem Charakter. Die fehlende menschliche Aufsicht (Art. 14-Defizit) könnte auch eine Verletzung der Meta-Lizenzbedingungen darstellen — was rechtlich komplizierte Konsequenzen hätte.</w:t>
      </w:r>
    </w:p>
    <w:p/>
    <w:p>
      <w:pPr>
        <w:pStyle w:val="Heading2"/>
      </w:pPr>
      <w:r>
        <w:rPr>
          <w:rFonts w:ascii="Times New Roman" w:hAnsi="Times New Roman"/>
        </w:rPr>
        <w:t>4. Systemcard-Anforderungen nach Art. 52 KI-VO</w:t>
      </w:r>
    </w:p>
    <w:p>
      <w:pPr>
        <w:jc w:val="left"/>
      </w:pPr>
      <w:r>
        <w:t>Art. 52 Abs. 1 KI-VO: GPAI-Modellanbieter mit systemischem Risiko (Trainingsrechenaufwand &gt; 10^25 FLOP) haben erweiterte Pflichten, einschließlich Model Evaluation (Red Teaming) und Systemcard mit erweitertem Inhalt. Llama-3.1-70B: Der Trainingsaufwand liegt bei ca. 6,4 × 10^23 FLOP — damit unterhalb der Systemrisiko-Schwelle. Die erweiterten Art. 52-Pflichten gelten nicht für Llama-3.1-70B.</w:t>
      </w:r>
    </w:p>
    <w:p/>
    <w:p>
      <w:pPr>
        <w:pStyle w:val="Heading2"/>
      </w:pPr>
      <w:r>
        <w:rPr>
          <w:rFonts w:ascii="Times New Roman" w:hAnsi="Times New Roman"/>
        </w:rPr>
        <w:t>5. Handlungsempfehlungen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Priorität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Integration Llama-3.1 System Card in technische Dokumentation MedAssist v4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Rechtliche Prüfung Meta RAIL-Lizenz auf Vereinbarkeit mit Notrufdisposition ohne vollständige Aufsicht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Fine-Tuning-Dokumentation (Trainingsparameter, Datensatz, Evaluierungsergebnisse) erstellen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31.05.2026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Klärung mit Meta AI, ob Deployment in kritischer Infrastruktur zulässig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31.05.2026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6. Gesamtbewertung GPAI-Komponente</w:t>
      </w:r>
    </w:p>
    <w:p>
      <w:pPr>
        <w:jc w:val="left"/>
      </w:pPr>
      <w:r>
        <w:rPr>
          <w:b/>
        </w:rPr>
        <w:t>GPAI-Anbieterstellung von MedAssist AI GmbH: Nicht gegeben</w:t>
      </w:r>
      <w:r>
        <w:t xml:space="preserve"> (da Fine-Tuning zur Spezialisierung führt). </w:t>
      </w:r>
      <w:r>
        <w:rPr>
          <w:b/>
        </w:rPr>
        <w:t>Pflicht zur Integration der Llama-Upstream-Dokumentation: Nicht erfüllt.</w:t>
      </w:r>
      <w:r>
        <w:t xml:space="preserve"> Lizenzrechtliche Risiken durch fehlende Aufsicht: Erheblich. Sofortige Integration in technische Dokumentation und rechtliche Lizenzprüfung erforderlich.</w:t>
      </w:r>
    </w:p>
    <w:p/>
    <w:p>
      <w:pPr>
        <w:jc w:val="left"/>
      </w:pPr>
      <w:r>
        <w:rPr>
          <w:i/>
        </w:rPr>
        <w:t>Heidelberg, 28.04.2026</w:t>
      </w:r>
    </w:p>
    <w:p>
      <w:pPr>
        <w:jc w:val="left"/>
      </w:pPr>
      <w:r>
        <w:rPr>
          <w:i/>
        </w:rPr>
        <w:t>RA Dr. Mark Roosendaal — Az. 2026-V-0427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