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Daten-Governance und Bias-Test Art. 10 KI-VO</w:t>
      </w:r>
    </w:p>
    <w:p>
      <w:pPr>
        <w:jc w:val="left"/>
      </w:pPr>
      <w:r>
        <w:t>Stand: 16.05.2026</w:t>
      </w:r>
    </w:p>
    <w:p>
      <w:pPr>
        <w:pStyle w:val="Heading2"/>
      </w:pPr>
      <w:r>
        <w:rPr>
          <w:rFonts w:ascii="Times New Roman" w:hAnsi="Times New Roman"/>
        </w:rPr>
        <w:t>1. Datensätze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Datensatz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Quelle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Umfang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Zweck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D-Train-2024-HR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Historische Bewerbungen aus drei Pilotkunden, bereinigt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48.200 Profile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Merkmalsextraktion und Rankingkalibrierung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Dokumentation unvollständig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D-Val-2025-General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Synthetisch angereicherte Lebensläufe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12.000 Profile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Validierung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Plausibel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D-Test-2026-Care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Pflege- und Klinikprofile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4.800 Profile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Domänentest Elbtal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Neu, noch nicht final freigegeben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D-Adverse-Set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Randfälle, Lücken, ungewöhnliche Lebensläufe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1.200 Profile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Robustheit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Aufbau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 Qualitätsmaßnahmen</w:t>
      </w:r>
    </w:p>
    <w:p>
      <w:pPr>
        <w:pStyle w:val="ListBullet"/>
      </w:pPr>
      <w:r>
        <w:t>Duplikatprüfung.</w:t>
      </w:r>
    </w:p>
    <w:p>
      <w:pPr>
        <w:pStyle w:val="ListBullet"/>
      </w:pPr>
      <w:r>
        <w:t>Entfernung direkter Merkmale wie Foto, Geburtsdatum, Familienstand, Religionsangabe.</w:t>
      </w:r>
    </w:p>
    <w:p>
      <w:pPr>
        <w:pStyle w:val="ListBullet"/>
      </w:pPr>
      <w:r>
        <w:t>Maskierung sensibler Passagen.</w:t>
      </w:r>
    </w:p>
    <w:p>
      <w:pPr>
        <w:pStyle w:val="ListBullet"/>
      </w:pPr>
      <w:r>
        <w:t>Labelprüfung durch zwei unabhängige Reviewer.</w:t>
      </w:r>
    </w:p>
    <w:p>
      <w:pPr>
        <w:pStyle w:val="ListBullet"/>
      </w:pPr>
      <w:r>
        <w:t>Dokumentation von Datenherkunft und Einwilligungs-/Rechtsgrundlagenprüfung.</w:t>
      </w:r>
    </w:p>
    <w:p>
      <w:pPr>
        <w:pStyle w:val="Heading2"/>
      </w:pPr>
      <w:r>
        <w:rPr>
          <w:rFonts w:ascii="Times New Roman" w:hAnsi="Times New Roman"/>
        </w:rPr>
        <w:t>3. Bias-Test</w:t>
      </w:r>
    </w:p>
    <w:p>
      <w:pPr>
        <w:jc w:val="left"/>
      </w:pPr>
      <w:r>
        <w:t>Getestete Vergleichsgruppen sind nicht als Entscheidungsmerkmale im Modell enthalten. Sie werden nur für Fairnessanalyse und Qualitätskontrolle verwendet, soweit rechtlich zulässig und datenschutzrechtlich freigegeben.</w:t>
      </w:r>
    </w:p>
    <w:p>
      <w:pPr>
        <w:jc w:val="left"/>
      </w:pPr>
      <w:r>
        <w:t>Vorläufige Ergebnisse: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Test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Geschlechtsnahe Vornamen als Surrogat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Scoreabweichung 2,8 Prozentpunkte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Beobachten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Nicht-lineare Karriereverläufe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Scoreabweichung 7,4 Prozentpunkte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Maßnahme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Sprachliche Nicht-Muttersprachlichkeit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Scoreabweichung 5,1 Prozentpunkte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Maßnahme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Pflegeauslandserfahrung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Scoreabweichung 3,2 Prozentpunkte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Beobachten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Offene Punkte</w:t>
      </w:r>
    </w:p>
    <w:p>
      <w:pPr>
        <w:jc w:val="left"/>
      </w:pPr>
      <w:r>
        <w:t>Die Trainingsdatenherkunft 2024 ist nicht für alle Pilotkunden gleich gut dokumentiert. Für eine finale Konformitätsbehauptung müssen die Datenliefervereinbarungen, Lösch-/Pseudonymisierungsprotokolle und Reviewer-Guidelines nachgelegt werden.</w:t>
      </w:r>
    </w:p>
    <w:p>
      <w:pPr>
        <w:pStyle w:val="Heading2"/>
      </w:pPr>
      <w:r>
        <w:rPr>
          <w:rFonts w:ascii="Times New Roman" w:hAnsi="Times New Roman"/>
        </w:rPr>
        <w:t>5. Entscheidung</w:t>
      </w:r>
    </w:p>
    <w:p>
      <w:pPr>
        <w:jc w:val="left"/>
      </w:pPr>
      <w:r>
        <w:t xml:space="preserve">Art.-10-Nachweis ist </w:t>
      </w:r>
      <w:r>
        <w:rPr>
          <w:b/>
        </w:rPr>
        <w:t>noch gelb</w:t>
      </w:r>
      <w:r>
        <w:t>. Das System kann nicht final bescheinigt werden, bevor die zwei Bias-Maßnahmen umgesetzt und die Datenherkunft geschlossen sind.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