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Technische Dokumentation: Anhang-IV-Index</w:t>
      </w:r>
    </w:p>
    <w:p>
      <w:pPr>
        <w:jc w:val="left"/>
      </w:pPr>
      <w:r>
        <w:rPr>
          <w:b/>
        </w:rPr>
        <w:t>Stand:</w:t>
      </w:r>
      <w:r>
        <w:t xml:space="preserve"> 17.05.2026 (Aktualisierung KW 21 geplant)</w:t>
      </w:r>
    </w:p>
    <w:p>
      <w:pPr>
        <w:jc w:val="left"/>
      </w:pPr>
      <w:r>
        <w:rPr>
          <w:b/>
        </w:rPr>
        <w:t>Bearbeitung:</w:t>
      </w:r>
      <w:r>
        <w:t xml:space="preserve"> Product Compliance Team, Dr. Caspar Lintorf</w:t>
      </w:r>
    </w:p>
    <w:p>
      <w:pPr>
        <w:jc w:val="left"/>
      </w:pPr>
      <w:r>
        <w:rPr>
          <w:b/>
        </w:rPr>
        <w:t>Aktenzeichen intern:</w:t>
      </w:r>
      <w:r>
        <w:t xml:space="preserve"> BP-DOC-2026-IV-01</w:t>
      </w:r>
    </w:p>
    <w:p>
      <w:pPr>
        <w:jc w:val="left"/>
      </w:pPr>
      <w:r>
        <w:t>Dieser Index folgt der Reihenfolge des Anhangs IV der KI-VO und ordnet jeder Anforderung ein konkret benanntes Dokument oder eine Dokumentengruppe zu. Spalten: Index (intern), Dokument, Bezug Artikel/Anhang, Status (Ampel), Fundstelle (Pfad im Spreebogen-Drive oder Aktenkapitel).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Index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Artikel/Anhang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Systembeschreibung und Zweckbestimmung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Anhang IV Nr. 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Produktakte Kapitel 1, Version v2.4 vom 13.05.2026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Architekturdiagramm und Datenflüsse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Anhang IV Nr. 2 lit. a) und 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Architekturordner, Diagramm v0.9 vom 22.04.2026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Modellbeschreibung Merkmalsextraktion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Anhang IV Nr. 2 lit. c)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Model Card Extractor v2.4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GPAI-Komponente LexiCore (Lieferanteninformation)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Anhang IV Nr. 2 lit. c) + Lieferantenklausel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Supplier Attestation 2026-05 (knapp), Modellversion fehlt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Trainings-, Validierungs- und Prüfdatensätze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10, Anhang IV Nr. 2 lit. d)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Gelb/Rot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Data Governance Ordner; D-Train-2024-HR nicht vollständig dokumentiert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Risikomanagementakte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9, Anhang IV Nr.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Risk Register 2026-05 (R-01 bis R-08)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Human-Oversight-Konzept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14, Anhang IV Nr.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Oversight SOP v0.8; Praxistest fehlt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Logging-Konzept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12, Anhang IV Nr. 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Grün/Gelb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Logging Spec v1.1, Implementierung in Release Candidate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Accuracy/Robustness/Cybersecurity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15, Anhang IV Nr. 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Test Report RC2 vom 05.05.2026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Gebrauchsanweisung für Betreiber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13, Anhang IV Nr.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User Manual Draft v0.7, Beta bei Elbtal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Konformitätsbewertung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43, Anhang IV Nr. 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Checkliste 2026-05 (07_konformitaetsbewertung_art_43_checkliste.md)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Post-Market Monitoring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72, Anhang IV Nr.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PMM Plan Draft v0.5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QMS-Dokumentation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QMS-Handbuch BP-QMS-2026 Rev. 02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EU-Konformitätserklärung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47, Anhang 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Entwurf, vgl. 09_eu_konformitaetserklaerung_anhang_v_entwurf.md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Datenschutz-Folgenabschaetzung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35 DSGVO (i.V.m. KI-VO Berührungspunkten)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DSFA Bewerberpilot v0.6 vom 14.05.2026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Bias-Auditbericht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10 KI-VO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Bias-Audit-Bericht v0.4 vom 20.05.2026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Konfigurations- und Versionsprotokoll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11/12/15 KI-VO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Git-Tag bp-tr-v2.4-rc; Konfigurations-Logfile-Auszug Kapitel 13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TD-18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Beschwerdemanagement (Bewerberseite)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19 KI-VO + DSGVO Art. 12-22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erste Beschwerde dokumentiert (Bewerber B-2026-0411)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Lieferantennachweis LexiCore Systems Inc.</w:t>
      </w:r>
    </w:p>
    <w:p>
      <w:pPr>
        <w:jc w:val="left"/>
      </w:pPr>
      <w:r>
        <w:t xml:space="preserve">LexiCore Systems Inc. (Boston, MA, USA) liefert eine </w:t>
      </w:r>
      <w:r>
        <w:rPr>
          <w:b/>
        </w:rPr>
        <w:t>Supplier Attestation 2026-05</w:t>
      </w:r>
      <w:r>
        <w:t xml:space="preserve"> (Datum 04.05.2026, drei Seiten, unterzeichnet durch Compliance Officer Maya Chen). Diese erklärt:</w:t>
      </w:r>
    </w:p>
    <w:p>
      <w:pPr>
        <w:pStyle w:val="ListBullet"/>
      </w:pPr>
      <w:r>
        <w:t>Das Modell "LexiCore Coordinator v3.1" ist nicht für finale HR-Entscheidungen bestimmt.</w:t>
      </w:r>
    </w:p>
    <w:p>
      <w:pPr>
        <w:pStyle w:val="ListBullet"/>
      </w:pPr>
      <w:r>
        <w:t>Kundendaten werden nicht zum Training verwendet.</w:t>
      </w:r>
    </w:p>
    <w:p>
      <w:pPr>
        <w:pStyle w:val="ListBullet"/>
      </w:pPr>
      <w:r>
        <w:t>Technische Dokumentation wird auf Anfrage bereitgestellt.</w:t>
      </w:r>
    </w:p>
    <w:p>
      <w:pPr>
        <w:pStyle w:val="ListBullet"/>
      </w:pPr>
      <w:r>
        <w:t>Das Modell unterliegt internen Bias-Tests im Quartalsrhythmus.</w:t>
      </w:r>
    </w:p>
    <w:p>
      <w:pPr>
        <w:jc w:val="left"/>
      </w:pPr>
      <w:r>
        <w:t xml:space="preserve">Der Nachweis reicht für das Evidence-Pack </w:t>
      </w:r>
      <w:r>
        <w:rPr>
          <w:b/>
        </w:rPr>
        <w:t>noch nicht</w:t>
      </w:r>
      <w:r>
        <w:t xml:space="preserve"> aus, weil folgende Angaben fehlen:</w:t>
      </w:r>
    </w:p>
    <w:p>
      <w:pPr>
        <w:pStyle w:val="ListNumber"/>
      </w:pPr>
      <w:r>
        <w:t>Genaue Modellversion (Coordinator v3.1 vs. v3.1.2 vs. v3.2)</w:t>
      </w:r>
    </w:p>
    <w:p>
      <w:pPr>
        <w:pStyle w:val="ListNumber"/>
      </w:pPr>
      <w:r>
        <w:t>Evaluationsgrenzen (welche Sprachen, welche Domainfilter)</w:t>
      </w:r>
    </w:p>
    <w:p>
      <w:pPr>
        <w:pStyle w:val="ListNumber"/>
      </w:pPr>
      <w:r>
        <w:t>Sicherheitsfilter (welche Prompt-Injection-Mitigations sind aktiv)</w:t>
      </w:r>
    </w:p>
    <w:p>
      <w:pPr>
        <w:pStyle w:val="ListNumber"/>
      </w:pPr>
      <w:r>
        <w:t>Mindestkontextfenstergroesse</w:t>
      </w:r>
    </w:p>
    <w:p>
      <w:pPr>
        <w:pStyle w:val="ListNumber"/>
      </w:pPr>
      <w:r>
        <w:t>Reaktion auf besondere Kategorien personenbezogener Daten</w:t>
      </w:r>
    </w:p>
    <w:p>
      <w:pPr>
        <w:pStyle w:val="ListNumber"/>
      </w:pPr>
      <w:r>
        <w:t>No-Training-Nachweis als Vertragsklausel (nicht nur als Erklärung)</w:t>
      </w:r>
    </w:p>
    <w:p>
      <w:pPr>
        <w:jc w:val="left"/>
      </w:pPr>
      <w:r>
        <w:t>Eine Nachforderung wurde am 19.05.2026 durch Vendor Management (Lara Berghoff) gestellt. Antwortfrist 07.06.2026.</w:t>
      </w:r>
    </w:p>
    <w:p>
      <w:pPr>
        <w:pStyle w:val="Heading2"/>
      </w:pPr>
      <w:r>
        <w:rPr>
          <w:rFonts w:ascii="Times New Roman" w:hAnsi="Times New Roman"/>
        </w:rPr>
        <w:t>Datenherkunft Trainingsdaten 2024 (D-Train-2024-HR)</w:t>
      </w:r>
    </w:p>
    <w:p>
      <w:pPr>
        <w:jc w:val="left"/>
      </w:pPr>
      <w:r>
        <w:t>Die Datenherkunft 2024 ist heterogen:</w:t>
      </w:r>
    </w:p>
    <w:p>
      <w:pPr>
        <w:pStyle w:val="ListBullet"/>
      </w:pPr>
      <w:r>
        <w:t>18.700 Profile aus Kunde A (PflegePilot Care GmbH, Berlin) — Datenliefervereinbarung vorhanden, Pseudonymisierungsprotokoll vorhanden.</w:t>
      </w:r>
    </w:p>
    <w:p>
      <w:pPr>
        <w:pStyle w:val="ListBullet"/>
      </w:pPr>
      <w:r>
        <w:t xml:space="preserve">16.400 Profile aus Kunde B (Tellbach Klinikgruppe, Hannover) — Datenliefervereinbarung vorhanden, Pseudonymisierungsprotokoll </w:t>
      </w:r>
      <w:r>
        <w:rPr>
          <w:b/>
        </w:rPr>
        <w:t>fehlt</w:t>
      </w:r>
      <w:r>
        <w:t>.</w:t>
      </w:r>
    </w:p>
    <w:p>
      <w:pPr>
        <w:pStyle w:val="ListBullet"/>
      </w:pPr>
      <w:r>
        <w:t xml:space="preserve">13.100 Profile aus Kunde C (StadtPersonal Süd AG, Muenchen) — Datenliefervereinbarung </w:t>
      </w:r>
      <w:r>
        <w:rPr>
          <w:b/>
        </w:rPr>
        <w:t>vorhanden, aber im Lichte der KI-VO nicht spezifisch genug</w:t>
      </w:r>
      <w:r>
        <w:t>; Pseudonymisierungsprotokoll vorhanden.</w:t>
      </w:r>
    </w:p>
    <w:p>
      <w:pPr>
        <w:jc w:val="left"/>
      </w:pPr>
      <w:r>
        <w:t>Aktion: Mit Kunde B (Tellbach Klinikgruppe) ist eine Nachvereinbarung des Pseudonymisierungsprotokolls erforderlich, Frist 14.06.2026. Mit Kunde C ist eine Datenliefervereinbarung-Erweiterung in Vorbereitung.</w:t>
      </w:r>
    </w:p>
    <w:p>
      <w:pPr>
        <w:pStyle w:val="Heading2"/>
      </w:pPr>
      <w:r>
        <w:rPr>
          <w:rFonts w:ascii="Times New Roman" w:hAnsi="Times New Roman"/>
        </w:rPr>
        <w:t>Lese- und Nachweispflichten</w:t>
      </w:r>
    </w:p>
    <w:p>
      <w:pPr>
        <w:jc w:val="left"/>
      </w:pPr>
      <w:r>
        <w:t>Die Anbieterin hält die in Anhang IV genannten Dokumente über den vollständigen Lebenszyklus des KI-Systems vor (mindestens 10 Jahre nach Inverkehrbringen, Art. 18 KI-VO). Der Index TD-01 bis TD-18 wird im Quartalsrhythmus aktualisiert.</w:t>
      </w:r>
    </w:p>
    <w:p>
      <w:pPr>
        <w:pStyle w:val="Heading2"/>
      </w:pPr>
      <w:r>
        <w:rPr>
          <w:rFonts w:ascii="Times New Roman" w:hAnsi="Times New Roman"/>
        </w:rPr>
        <w:t>Dokumentationsentscheidung</w:t>
      </w:r>
    </w:p>
    <w:p>
      <w:pPr>
        <w:jc w:val="left"/>
      </w:pPr>
      <w:r>
        <w:t xml:space="preserve">Der technische Dokumentationsstand ist für eine </w:t>
      </w:r>
      <w:r>
        <w:rPr>
          <w:b/>
        </w:rPr>
        <w:t>Readiness-Bescheinigung</w:t>
      </w:r>
      <w:r>
        <w:t xml:space="preserve"> brauchbar, aber für eine </w:t>
      </w:r>
      <w:r>
        <w:rPr>
          <w:b/>
        </w:rPr>
        <w:t>finale Konformitaetsbescheinigung</w:t>
      </w:r>
      <w:r>
        <w:t xml:space="preserve"> noch nicht geschlossen. Die blockierenden Lücken liegen in TD-04 (LexiCore), TD-05 (Trainingsdaten), TD-07 (Oversight-Praxistest) und TD-09 (Test Report finale Freigabe).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