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Konformitätsbewertung Art. 43 Checkliste</w:t>
      </w:r>
    </w:p>
    <w:p>
      <w:pPr>
        <w:jc w:val="left"/>
      </w:pPr>
      <w:r>
        <w:t>Produkt: BewerberPilot TalentRank 2.4</w:t>
      </w:r>
    </w:p>
    <w:p>
      <w:pPr>
        <w:jc w:val="left"/>
      </w:pPr>
      <w:r>
        <w:t>Stand: 19.05.2026</w:t>
      </w:r>
    </w:p>
    <w:p>
      <w:pPr>
        <w:pStyle w:val="Heading2"/>
      </w:pPr>
      <w:r>
        <w:rPr>
          <w:rFonts w:ascii="Times New Roman" w:hAnsi="Times New Roman"/>
        </w:rPr>
        <w:t>1. Bewertungsweg</w:t>
      </w:r>
    </w:p>
    <w:p>
      <w:pPr>
        <w:jc w:val="left"/>
      </w:pPr>
      <w:r>
        <w:t>TalentRank ist als Hochrisiko-KI nach Art. 6 Abs. 2 i.V.m. Anhang III Bereich Beschäftigung/Recruiting eingestuft. Es handelt sich nicht um biometrische Fernidentifizierung und nicht um ein Sicherheitsbauteil eines Anhang-I-Produkts.</w:t>
      </w:r>
    </w:p>
    <w:p>
      <w:pPr>
        <w:jc w:val="left"/>
      </w:pPr>
      <w:r>
        <w:t>Vorläufiger Pfad: interne Kontrolle mit vollständiger technischer Dokumentation, Risikomanagement, QMS-Elementen, EU-Konformitätserklärung, CE-/Registrierungsprüfung und Post-Market-Monitoring. Eine notifizierte Stelle ist nach aktueller Einschätzung nicht zwingend, muss aber erneut geprüft werden, sobald einschlägige harmonisierte Normen, gemeinsame Spezifikationen oder Behördenhinweise konkret vorliegen.</w:t>
      </w:r>
    </w:p>
    <w:p>
      <w:pPr>
        <w:pStyle w:val="Heading2"/>
      </w:pPr>
      <w:r>
        <w:rPr>
          <w:rFonts w:ascii="Times New Roman" w:hAnsi="Times New Roman"/>
        </w:rPr>
        <w:t>2. Checkliste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Nachweis</w:t>
            </w:r>
          </w:p>
        </w:tc>
        <w:tc>
          <w:tcPr>
            <w:tcW w:type="dxa" w:w="3024"/>
          </w:tcPr>
          <w:p>
            <w:r>
              <w:rPr>
                <w:rFonts w:ascii="Times New Roman" w:hAnsi="Times New Roman"/>
                <w:b/>
                <w:sz w:val="20"/>
              </w:rPr>
              <w:t>Status</w:t>
            </w:r>
          </w:p>
        </w:tc>
      </w:tr>
      <w:tr>
        <w:tc>
          <w:tcPr>
            <w:tcW w:type="dxa" w:w="3024"/>
          </w:tcPr>
          <w:p>
            <w:r>
              <w:rPr>
                <w:rFonts w:ascii="Times New Roman" w:hAnsi="Times New Roman"/>
                <w:sz w:val="20"/>
              </w:rPr>
              <w:t>Systemabgrenzung</w:t>
            </w:r>
          </w:p>
        </w:tc>
        <w:tc>
          <w:tcPr>
            <w:tcW w:type="dxa" w:w="3024"/>
          </w:tcPr>
          <w:p>
            <w:r>
              <w:rPr>
                <w:rFonts w:ascii="Times New Roman" w:hAnsi="Times New Roman"/>
                <w:sz w:val="20"/>
              </w:rPr>
              <w:t>Systembeschreibung TalentRank 2.4</w:t>
            </w:r>
          </w:p>
        </w:tc>
        <w:tc>
          <w:tcPr>
            <w:tcW w:type="dxa" w:w="3024"/>
          </w:tcPr>
          <w:p>
            <w:r>
              <w:rPr>
                <w:rFonts w:ascii="Times New Roman" w:hAnsi="Times New Roman"/>
                <w:sz w:val="20"/>
              </w:rPr>
              <w:t>Grün</w:t>
            </w:r>
          </w:p>
        </w:tc>
      </w:tr>
      <w:tr>
        <w:tc>
          <w:tcPr>
            <w:tcW w:type="dxa" w:w="3024"/>
          </w:tcPr>
          <w:p>
            <w:r>
              <w:rPr>
                <w:rFonts w:ascii="Times New Roman" w:hAnsi="Times New Roman"/>
                <w:sz w:val="20"/>
              </w:rPr>
              <w:t>KI-System-Einstufung</w:t>
            </w:r>
          </w:p>
        </w:tc>
        <w:tc>
          <w:tcPr>
            <w:tcW w:type="dxa" w:w="3024"/>
          </w:tcPr>
          <w:p>
            <w:r>
              <w:rPr>
                <w:rFonts w:ascii="Times New Roman" w:hAnsi="Times New Roman"/>
                <w:sz w:val="20"/>
              </w:rPr>
              <w:t>Art.-3-Vermerk</w:t>
            </w:r>
          </w:p>
        </w:tc>
        <w:tc>
          <w:tcPr>
            <w:tcW w:type="dxa" w:w="3024"/>
          </w:tcPr>
          <w:p>
            <w:r>
              <w:rPr>
                <w:rFonts w:ascii="Times New Roman" w:hAnsi="Times New Roman"/>
                <w:sz w:val="20"/>
              </w:rPr>
              <w:t>Grün</w:t>
            </w:r>
          </w:p>
        </w:tc>
      </w:tr>
      <w:tr>
        <w:tc>
          <w:tcPr>
            <w:tcW w:type="dxa" w:w="3024"/>
          </w:tcPr>
          <w:p>
            <w:r>
              <w:rPr>
                <w:rFonts w:ascii="Times New Roman" w:hAnsi="Times New Roman"/>
                <w:sz w:val="20"/>
              </w:rPr>
              <w:t>Hochrisiko-Einstufung</w:t>
            </w:r>
          </w:p>
        </w:tc>
        <w:tc>
          <w:tcPr>
            <w:tcW w:type="dxa" w:w="3024"/>
          </w:tcPr>
          <w:p>
            <w:r>
              <w:rPr>
                <w:rFonts w:ascii="Times New Roman" w:hAnsi="Times New Roman"/>
                <w:sz w:val="20"/>
              </w:rPr>
              <w:t>Art.-6-/Anhang-III-Vermerk</w:t>
            </w:r>
          </w:p>
        </w:tc>
        <w:tc>
          <w:tcPr>
            <w:tcW w:type="dxa" w:w="3024"/>
          </w:tcPr>
          <w:p>
            <w:r>
              <w:rPr>
                <w:rFonts w:ascii="Times New Roman" w:hAnsi="Times New Roman"/>
                <w:sz w:val="20"/>
              </w:rPr>
              <w:t>Grün</w:t>
            </w:r>
          </w:p>
        </w:tc>
      </w:tr>
      <w:tr>
        <w:tc>
          <w:tcPr>
            <w:tcW w:type="dxa" w:w="3024"/>
          </w:tcPr>
          <w:p>
            <w:r>
              <w:rPr>
                <w:rFonts w:ascii="Times New Roman" w:hAnsi="Times New Roman"/>
                <w:sz w:val="20"/>
              </w:rPr>
              <w:t>Risikomanagement</w:t>
            </w:r>
          </w:p>
        </w:tc>
        <w:tc>
          <w:tcPr>
            <w:tcW w:type="dxa" w:w="3024"/>
          </w:tcPr>
          <w:p>
            <w:r>
              <w:rPr>
                <w:rFonts w:ascii="Times New Roman" w:hAnsi="Times New Roman"/>
                <w:sz w:val="20"/>
              </w:rPr>
              <w:t>Risk Register</w:t>
            </w:r>
          </w:p>
        </w:tc>
        <w:tc>
          <w:tcPr>
            <w:tcW w:type="dxa" w:w="3024"/>
          </w:tcPr>
          <w:p>
            <w:r>
              <w:rPr>
                <w:rFonts w:ascii="Times New Roman" w:hAnsi="Times New Roman"/>
                <w:sz w:val="20"/>
              </w:rPr>
              <w:t>Gelb</w:t>
            </w:r>
          </w:p>
        </w:tc>
      </w:tr>
      <w:tr>
        <w:tc>
          <w:tcPr>
            <w:tcW w:type="dxa" w:w="3024"/>
          </w:tcPr>
          <w:p>
            <w:r>
              <w:rPr>
                <w:rFonts w:ascii="Times New Roman" w:hAnsi="Times New Roman"/>
                <w:sz w:val="20"/>
              </w:rPr>
              <w:t>Daten-Governance</w:t>
            </w:r>
          </w:p>
        </w:tc>
        <w:tc>
          <w:tcPr>
            <w:tcW w:type="dxa" w:w="3024"/>
          </w:tcPr>
          <w:p>
            <w:r>
              <w:rPr>
                <w:rFonts w:ascii="Times New Roman" w:hAnsi="Times New Roman"/>
                <w:sz w:val="20"/>
              </w:rPr>
              <w:t>Datensatz- und Bias-Vermerk</w:t>
            </w:r>
          </w:p>
        </w:tc>
        <w:tc>
          <w:tcPr>
            <w:tcW w:type="dxa" w:w="3024"/>
          </w:tcPr>
          <w:p>
            <w:r>
              <w:rPr>
                <w:rFonts w:ascii="Times New Roman" w:hAnsi="Times New Roman"/>
                <w:sz w:val="20"/>
              </w:rPr>
              <w:t>Gelb/Rot</w:t>
            </w:r>
          </w:p>
        </w:tc>
      </w:tr>
      <w:tr>
        <w:tc>
          <w:tcPr>
            <w:tcW w:type="dxa" w:w="3024"/>
          </w:tcPr>
          <w:p>
            <w:r>
              <w:rPr>
                <w:rFonts w:ascii="Times New Roman" w:hAnsi="Times New Roman"/>
                <w:sz w:val="20"/>
              </w:rPr>
              <w:t>Technische Dokumentation</w:t>
            </w:r>
          </w:p>
        </w:tc>
        <w:tc>
          <w:tcPr>
            <w:tcW w:type="dxa" w:w="3024"/>
          </w:tcPr>
          <w:p>
            <w:r>
              <w:rPr>
                <w:rFonts w:ascii="Times New Roman" w:hAnsi="Times New Roman"/>
                <w:sz w:val="20"/>
              </w:rPr>
              <w:t>Anhang-IV-Index</w:t>
            </w:r>
          </w:p>
        </w:tc>
        <w:tc>
          <w:tcPr>
            <w:tcW w:type="dxa" w:w="3024"/>
          </w:tcPr>
          <w:p>
            <w:r>
              <w:rPr>
                <w:rFonts w:ascii="Times New Roman" w:hAnsi="Times New Roman"/>
                <w:sz w:val="20"/>
              </w:rPr>
              <w:t>Gelb</w:t>
            </w:r>
          </w:p>
        </w:tc>
      </w:tr>
      <w:tr>
        <w:tc>
          <w:tcPr>
            <w:tcW w:type="dxa" w:w="3024"/>
          </w:tcPr>
          <w:p>
            <w:r>
              <w:rPr>
                <w:rFonts w:ascii="Times New Roman" w:hAnsi="Times New Roman"/>
                <w:sz w:val="20"/>
              </w:rPr>
              <w:t>Logging</w:t>
            </w:r>
          </w:p>
        </w:tc>
        <w:tc>
          <w:tcPr>
            <w:tcW w:type="dxa" w:w="3024"/>
          </w:tcPr>
          <w:p>
            <w:r>
              <w:rPr>
                <w:rFonts w:ascii="Times New Roman" w:hAnsi="Times New Roman"/>
                <w:sz w:val="20"/>
              </w:rPr>
              <w:t>Logging Spec</w:t>
            </w:r>
          </w:p>
        </w:tc>
        <w:tc>
          <w:tcPr>
            <w:tcW w:type="dxa" w:w="3024"/>
          </w:tcPr>
          <w:p>
            <w:r>
              <w:rPr>
                <w:rFonts w:ascii="Times New Roman" w:hAnsi="Times New Roman"/>
                <w:sz w:val="20"/>
              </w:rPr>
              <w:t>Grün/Gelb</w:t>
            </w:r>
          </w:p>
        </w:tc>
      </w:tr>
      <w:tr>
        <w:tc>
          <w:tcPr>
            <w:tcW w:type="dxa" w:w="3024"/>
          </w:tcPr>
          <w:p>
            <w:r>
              <w:rPr>
                <w:rFonts w:ascii="Times New Roman" w:hAnsi="Times New Roman"/>
                <w:sz w:val="20"/>
              </w:rPr>
              <w:t>Transparenz/Gebrauchsanweisung</w:t>
            </w:r>
          </w:p>
        </w:tc>
        <w:tc>
          <w:tcPr>
            <w:tcW w:type="dxa" w:w="3024"/>
          </w:tcPr>
          <w:p>
            <w:r>
              <w:rPr>
                <w:rFonts w:ascii="Times New Roman" w:hAnsi="Times New Roman"/>
                <w:sz w:val="20"/>
              </w:rPr>
              <w:t>User Manual Draft</w:t>
            </w:r>
          </w:p>
        </w:tc>
        <w:tc>
          <w:tcPr>
            <w:tcW w:type="dxa" w:w="3024"/>
          </w:tcPr>
          <w:p>
            <w:r>
              <w:rPr>
                <w:rFonts w:ascii="Times New Roman" w:hAnsi="Times New Roman"/>
                <w:sz w:val="20"/>
              </w:rPr>
              <w:t>Gelb</w:t>
            </w:r>
          </w:p>
        </w:tc>
      </w:tr>
      <w:tr>
        <w:tc>
          <w:tcPr>
            <w:tcW w:type="dxa" w:w="3024"/>
          </w:tcPr>
          <w:p>
            <w:r>
              <w:rPr>
                <w:rFonts w:ascii="Times New Roman" w:hAnsi="Times New Roman"/>
                <w:sz w:val="20"/>
              </w:rPr>
              <w:t>Menschliche Aufsicht</w:t>
            </w:r>
          </w:p>
        </w:tc>
        <w:tc>
          <w:tcPr>
            <w:tcW w:type="dxa" w:w="3024"/>
          </w:tcPr>
          <w:p>
            <w:r>
              <w:rPr>
                <w:rFonts w:ascii="Times New Roman" w:hAnsi="Times New Roman"/>
                <w:sz w:val="20"/>
              </w:rPr>
              <w:t>Oversight SOP</w:t>
            </w:r>
          </w:p>
        </w:tc>
        <w:tc>
          <w:tcPr>
            <w:tcW w:type="dxa" w:w="3024"/>
          </w:tcPr>
          <w:p>
            <w:r>
              <w:rPr>
                <w:rFonts w:ascii="Times New Roman" w:hAnsi="Times New Roman"/>
                <w:sz w:val="20"/>
              </w:rPr>
              <w:t>Gelb</w:t>
            </w:r>
          </w:p>
        </w:tc>
      </w:tr>
      <w:tr>
        <w:tc>
          <w:tcPr>
            <w:tcW w:type="dxa" w:w="3024"/>
          </w:tcPr>
          <w:p>
            <w:r>
              <w:rPr>
                <w:rFonts w:ascii="Times New Roman" w:hAnsi="Times New Roman"/>
                <w:sz w:val="20"/>
              </w:rPr>
              <w:t>Accuracy/Robustness/Cybersecurity</w:t>
            </w:r>
          </w:p>
        </w:tc>
        <w:tc>
          <w:tcPr>
            <w:tcW w:type="dxa" w:w="3024"/>
          </w:tcPr>
          <w:p>
            <w:r>
              <w:rPr>
                <w:rFonts w:ascii="Times New Roman" w:hAnsi="Times New Roman"/>
                <w:sz w:val="20"/>
              </w:rPr>
              <w:t>Test Report RC2</w:t>
            </w:r>
          </w:p>
        </w:tc>
        <w:tc>
          <w:tcPr>
            <w:tcW w:type="dxa" w:w="3024"/>
          </w:tcPr>
          <w:p>
            <w:r>
              <w:rPr>
                <w:rFonts w:ascii="Times New Roman" w:hAnsi="Times New Roman"/>
                <w:sz w:val="20"/>
              </w:rPr>
              <w:t>Gelb</w:t>
            </w:r>
          </w:p>
        </w:tc>
      </w:tr>
      <w:tr>
        <w:tc>
          <w:tcPr>
            <w:tcW w:type="dxa" w:w="3024"/>
          </w:tcPr>
          <w:p>
            <w:r>
              <w:rPr>
                <w:rFonts w:ascii="Times New Roman" w:hAnsi="Times New Roman"/>
                <w:sz w:val="20"/>
              </w:rPr>
              <w:t>QMS</w:t>
            </w:r>
          </w:p>
        </w:tc>
        <w:tc>
          <w:tcPr>
            <w:tcW w:type="dxa" w:w="3024"/>
          </w:tcPr>
          <w:p>
            <w:r>
              <w:rPr>
                <w:rFonts w:ascii="Times New Roman" w:hAnsi="Times New Roman"/>
                <w:sz w:val="20"/>
              </w:rPr>
              <w:t>ISO/IEC-42001-orientiertes QMS-Handbuch</w:t>
            </w:r>
          </w:p>
        </w:tc>
        <w:tc>
          <w:tcPr>
            <w:tcW w:type="dxa" w:w="3024"/>
          </w:tcPr>
          <w:p>
            <w:r>
              <w:rPr>
                <w:rFonts w:ascii="Times New Roman" w:hAnsi="Times New Roman"/>
                <w:sz w:val="20"/>
              </w:rPr>
              <w:t>Gelb</w:t>
            </w:r>
          </w:p>
        </w:tc>
      </w:tr>
      <w:tr>
        <w:tc>
          <w:tcPr>
            <w:tcW w:type="dxa" w:w="3024"/>
          </w:tcPr>
          <w:p>
            <w:r>
              <w:rPr>
                <w:rFonts w:ascii="Times New Roman" w:hAnsi="Times New Roman"/>
                <w:sz w:val="20"/>
              </w:rPr>
              <w:t>EU-Konformitätserklärung</w:t>
            </w:r>
          </w:p>
        </w:tc>
        <w:tc>
          <w:tcPr>
            <w:tcW w:type="dxa" w:w="3024"/>
          </w:tcPr>
          <w:p>
            <w:r>
              <w:rPr>
                <w:rFonts w:ascii="Times New Roman" w:hAnsi="Times New Roman"/>
                <w:sz w:val="20"/>
              </w:rPr>
              <w:t>Entwurf</w:t>
            </w:r>
          </w:p>
        </w:tc>
        <w:tc>
          <w:tcPr>
            <w:tcW w:type="dxa" w:w="3024"/>
          </w:tcPr>
          <w:p>
            <w:r>
              <w:rPr>
                <w:rFonts w:ascii="Times New Roman" w:hAnsi="Times New Roman"/>
                <w:sz w:val="20"/>
              </w:rPr>
              <w:t>Gelb</w:t>
            </w:r>
          </w:p>
        </w:tc>
      </w:tr>
      <w:tr>
        <w:tc>
          <w:tcPr>
            <w:tcW w:type="dxa" w:w="3024"/>
          </w:tcPr>
          <w:p>
            <w:r>
              <w:rPr>
                <w:rFonts w:ascii="Times New Roman" w:hAnsi="Times New Roman"/>
                <w:sz w:val="20"/>
              </w:rPr>
              <w:t>CE-/EU-Datenbank</w:t>
            </w:r>
          </w:p>
        </w:tc>
        <w:tc>
          <w:tcPr>
            <w:tcW w:type="dxa" w:w="3024"/>
          </w:tcPr>
          <w:p>
            <w:r>
              <w:rPr>
                <w:rFonts w:ascii="Times New Roman" w:hAnsi="Times New Roman"/>
                <w:sz w:val="20"/>
              </w:rPr>
              <w:t>Entscheidungsvorlage offen</w:t>
            </w:r>
          </w:p>
        </w:tc>
        <w:tc>
          <w:tcPr>
            <w:tcW w:type="dxa" w:w="3024"/>
          </w:tcPr>
          <w:p>
            <w:r>
              <w:rPr>
                <w:rFonts w:ascii="Times New Roman" w:hAnsi="Times New Roman"/>
                <w:sz w:val="20"/>
              </w:rPr>
              <w:t>Gelb</w:t>
            </w:r>
          </w:p>
        </w:tc>
      </w:tr>
      <w:tr>
        <w:tc>
          <w:tcPr>
            <w:tcW w:type="dxa" w:w="3024"/>
          </w:tcPr>
          <w:p>
            <w:r>
              <w:rPr>
                <w:rFonts w:ascii="Times New Roman" w:hAnsi="Times New Roman"/>
                <w:sz w:val="20"/>
              </w:rPr>
              <w:t>Post-Market Monitoring</w:t>
            </w:r>
          </w:p>
        </w:tc>
        <w:tc>
          <w:tcPr>
            <w:tcW w:type="dxa" w:w="3024"/>
          </w:tcPr>
          <w:p>
            <w:r>
              <w:rPr>
                <w:rFonts w:ascii="Times New Roman" w:hAnsi="Times New Roman"/>
                <w:sz w:val="20"/>
              </w:rPr>
              <w:t>PMM Draft</w:t>
            </w:r>
          </w:p>
        </w:tc>
        <w:tc>
          <w:tcPr>
            <w:tcW w:type="dxa" w:w="3024"/>
          </w:tcPr>
          <w:p>
            <w:r>
              <w:rPr>
                <w:rFonts w:ascii="Times New Roman" w:hAnsi="Times New Roman"/>
                <w:sz w:val="20"/>
              </w:rPr>
              <w:t>Gelb</w:t>
            </w:r>
          </w:p>
        </w:tc>
      </w:tr>
    </w:tbl>
    <w:p>
      <w:pPr>
        <w:pStyle w:val="Heading2"/>
      </w:pPr>
      <w:r>
        <w:rPr>
          <w:rFonts w:ascii="Times New Roman" w:hAnsi="Times New Roman"/>
        </w:rPr>
        <w:t>3. Standards</w:t>
      </w:r>
    </w:p>
    <w:p>
      <w:pPr>
        <w:jc w:val="left"/>
      </w:pPr>
      <w:r>
        <w:t>BewerberPilot nutzt ISO/IEC 42001 und ISO/IEC 23894 als interne Strukturhilfen. Diese werden nicht als harmonisierte Normen mit automatischer Vermutungswirkung behandelt. Eine Vermutungswirkung wird erst angenommen, wenn eine einschlägige harmonisierte Norm im Amtsblatt der EU veröffentlicht und tatsächlich angewandt wurde.</w:t>
      </w:r>
    </w:p>
    <w:p>
      <w:pPr>
        <w:pStyle w:val="Heading2"/>
      </w:pPr>
      <w:r>
        <w:rPr>
          <w:rFonts w:ascii="Times New Roman" w:hAnsi="Times New Roman"/>
        </w:rPr>
        <w:t>4. Ergebnis</w:t>
      </w:r>
    </w:p>
    <w:p>
      <w:pPr>
        <w:jc w:val="left"/>
      </w:pPr>
      <w:r>
        <w:t xml:space="preserve">Eine finale Konformitätsbescheinigung ist noch nicht freigabefähig. Zulässig ist ein </w:t>
      </w:r>
      <w:r>
        <w:rPr>
          <w:b/>
        </w:rPr>
        <w:t>Konformitätsvermerk (Entwurf)</w:t>
      </w:r>
      <w:r>
        <w:t xml:space="preserve"> mit klarer Lückenliste und eine </w:t>
      </w:r>
      <w:r>
        <w:rPr>
          <w:b/>
        </w:rPr>
        <w:t>Readiness-Bescheinigung</w:t>
      </w:r>
      <w:r>
        <w:t xml:space="preserve"> für den kontrollierten Pilotbetrieb, wenn die offenen Punkte transparent ausgewiesen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