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Interner Sachstandsvermerk Pfarrbüro Sancta Caecilia</w:t>
      </w:r>
    </w:p>
    <w:p>
      <w:pPr>
        <w:jc w:val="left"/>
      </w:pPr>
      <w:r>
        <w:t>Am Montagmorgen liegen gleichzeitig vier Vorgänge auf dem Tisch: staatlicher Kirchenaustritt, kirchliche Trauung, Kommunion bei einer Beerdigung und eine zweckgebundene Großspende für die Orgel.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Adelgund von Rabenfels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getauft, 2019 staatlich ausgetreten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möchte Kommunion und Mitwirkung am Begräbnis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Kunigunde von Rabenfels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Tochter, katholisch getauft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will Jasper kirchlich heiraten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Jasper Ellingworth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Verlobter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anglikanisch getauft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Mechthild Rabenfels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verstorbene Mutter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jahrzehntelang aktiv in der Pfarrei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