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Kirchenaustritt: staatliche Erklärung und kirchliche Folgen</w:t>
      </w:r>
    </w:p>
    <w:p>
      <w:pPr>
        <w:pStyle w:val="Heading2"/>
      </w:pPr>
      <w:r>
        <w:rPr>
          <w:rFonts w:ascii="Times New Roman" w:hAnsi="Times New Roman"/>
        </w:rPr>
        <w:t>Sachstand</w:t>
      </w:r>
    </w:p>
    <w:p>
      <w:pPr>
        <w:jc w:val="left"/>
      </w:pPr>
      <w:r>
        <w:t>Adelgund von Rabenfels hat 2019 vor der staatlichen Stelle den Kirchenaustritt erklärt (Bescheinigung in Kopie beim Taufregisterauszug, Aktenstück 03). Anlass war nach ihrer Aussage im Gespräch mit dem Pfarrer "die Kirchensteuer nach der Erbschaft, nicht der Glaube". Sie besucht weiterhin gelegentlich die Abendmesse und möchte nun beim Begräbnis ihrer Mutter Mechthild Rabenfels mitwirken und die Kommunion empfangen.</w:t>
      </w:r>
    </w:p>
    <w:p>
      <w:pPr>
        <w:pStyle w:val="Heading2"/>
      </w:pPr>
      <w:r>
        <w:rPr>
          <w:rFonts w:ascii="Times New Roman" w:hAnsi="Times New Roman"/>
        </w:rPr>
        <w:t>Staatliche Ebene</w:t>
      </w:r>
    </w:p>
    <w:p>
      <w:pPr>
        <w:jc w:val="left"/>
      </w:pPr>
      <w:r>
        <w:t>Mit der Austrittserklärung endet die Heranziehung zur Kirchensteuer (Kirchensteuergesetz des Landes; Wirkung ab dem Folgemonat der Erklärung). Mehr regelt der Staat nicht — über Sakramente, Ämter und kirchliche Rechte sagt die staatliche Bescheinigung nichts.</w:t>
      </w:r>
    </w:p>
    <w:p>
      <w:pPr>
        <w:pStyle w:val="Heading2"/>
      </w:pPr>
      <w:r>
        <w:rPr>
          <w:rFonts w:ascii="Times New Roman" w:hAnsi="Times New Roman"/>
        </w:rPr>
        <w:t>Kirchenrechtliche Ebene</w:t>
      </w:r>
    </w:p>
    <w:p>
      <w:pPr>
        <w:pStyle w:val="Heading3"/>
      </w:pPr>
      <w:r>
        <w:rPr>
          <w:rFonts w:ascii="Times New Roman" w:hAnsi="Times New Roman"/>
        </w:rPr>
        <w:t>Die Taufe bleibt</w:t>
      </w:r>
    </w:p>
    <w:p>
      <w:pPr>
        <w:pStyle w:val="ListBullet"/>
      </w:pPr>
      <w:r>
        <w:rPr>
          <w:b/>
        </w:rPr>
        <w:t>c. 849 CIC</w:t>
      </w:r>
      <w:r>
        <w:t>: Die Taufe prägt ein unauslöschliches Merkmal ein (character indelebilis); eine "Enttaufung" gibt es nicht.</w:t>
      </w:r>
    </w:p>
    <w:p>
      <w:pPr>
        <w:pStyle w:val="ListBullet"/>
      </w:pPr>
      <w:r>
        <w:rPr>
          <w:b/>
        </w:rPr>
        <w:t>c. 96 CIC</w:t>
      </w:r>
      <w:r>
        <w:t>: Durch die Taufe ist der Mensch der Kirche eingegliedert und in ihr Person mit Pflichten und Rechten.</w:t>
      </w:r>
    </w:p>
    <w:p>
      <w:pPr>
        <w:pStyle w:val="ListBullet"/>
      </w:pPr>
      <w:r>
        <w:rPr>
          <w:b/>
        </w:rPr>
        <w:t>c. 11 CIC</w:t>
      </w:r>
      <w:r>
        <w:t>: Rein kirchliche Gesetze verpflichten die katholisch Getauften — unabhängig vom staatlichen Status.</w:t>
      </w:r>
    </w:p>
    <w:p>
      <w:pPr>
        <w:jc w:val="left"/>
      </w:pPr>
      <w:r>
        <w:t xml:space="preserve">Die frühere Figur des "actus formalis defectionis" wurde durch das Motu Proprio </w:t>
      </w:r>
      <w:r>
        <w:rPr>
          <w:b/>
        </w:rPr>
        <w:t>Omnium in mentem (2009)</w:t>
      </w:r>
      <w:r>
        <w:t xml:space="preserve"> aus den Ehenormen (cc. 1086, 1117, 1124) gestrichen: Auch Ausgetretene bleiben formpflichtig.</w:t>
      </w:r>
    </w:p>
    <w:p>
      <w:pPr>
        <w:pStyle w:val="Heading3"/>
      </w:pPr>
      <w:r>
        <w:rPr>
          <w:rFonts w:ascii="Times New Roman" w:hAnsi="Times New Roman"/>
        </w:rPr>
        <w:t>Wirkung des Austritts nach deutscher Ordnung</w:t>
      </w:r>
    </w:p>
    <w:p>
      <w:pPr>
        <w:jc w:val="left"/>
      </w:pPr>
      <w:r>
        <w:t xml:space="preserve">Maßgeblich ist das </w:t>
      </w:r>
      <w:r>
        <w:rPr>
          <w:b/>
        </w:rPr>
        <w:t>Allgemeine Dekret der Deutschen Bischofskonferenz vom 20.09.2012</w:t>
      </w:r>
      <w:r>
        <w:t xml:space="preserve">: Die vor staatlicher Stelle erklärte Austrittserklärung ist eine </w:t>
      </w:r>
      <w:r>
        <w:rPr>
          <w:b/>
        </w:rPr>
        <w:t>öffentliche, schwerwiegende Distanzierung</w:t>
      </w:r>
      <w:r>
        <w:t xml:space="preserve"> von der kirchlichen Gemeinschaft (Verstoß gegen cc. 209 § 1, 222 § 1 CIC). Rechtsfolgen unter anderem:</w:t>
      </w:r>
    </w:p>
    <w:p>
      <w:pPr>
        <w:pStyle w:val="ListBullet"/>
      </w:pPr>
      <w:r>
        <w:t>kein Empfang von Buße, Eucharistie, Firmung, Krankensalbung (außer Todesgefahr);</w:t>
      </w:r>
    </w:p>
    <w:p>
      <w:pPr>
        <w:pStyle w:val="ListBullet"/>
      </w:pPr>
      <w:r>
        <w:t>keine kirchlichen Ämter, kein Patendienst, keine Gremienmitgliedschaft;</w:t>
      </w:r>
    </w:p>
    <w:p>
      <w:pPr>
        <w:pStyle w:val="ListBullet"/>
      </w:pPr>
      <w:r>
        <w:t>kirchliches Begräbnis des Ausgetretenen selbst nur bei erkennbarem Zeichen der Reue vor dem Tod;</w:t>
      </w:r>
    </w:p>
    <w:p>
      <w:pPr>
        <w:pStyle w:val="ListBullet"/>
      </w:pPr>
      <w:r>
        <w:t xml:space="preserve">der Pfarrer </w:t>
      </w:r>
      <w:r>
        <w:rPr>
          <w:b/>
        </w:rPr>
        <w:t>sucht das Gespräch</w:t>
      </w:r>
      <w:r>
        <w:t xml:space="preserve"> und lädt zur Wiederversöhnung ein.</w:t>
      </w:r>
    </w:p>
    <w:p>
      <w:pPr>
        <w:jc w:val="left"/>
      </w:pPr>
      <w:r>
        <w:t xml:space="preserve">Wichtig: Der Austritt wird seit 2012 </w:t>
      </w:r>
      <w:r>
        <w:rPr>
          <w:b/>
        </w:rPr>
        <w:t>nicht</w:t>
      </w:r>
      <w:r>
        <w:t xml:space="preserve"> pauschal als Apostasie oder Schisma mit Tatstrafe der Exkommunikation (cc. 751, 1364 CIC) gewertet — die Motive (hier: Steuer, nicht Glaubensabfall) sind zu würdigen.</w:t>
      </w:r>
    </w:p>
    <w:p>
      <w:pPr>
        <w:pStyle w:val="Heading2"/>
      </w:pPr>
      <w:r>
        <w:rPr>
          <w:rFonts w:ascii="Times New Roman" w:hAnsi="Times New Roman"/>
        </w:rPr>
        <w:t>Konsequenz für die vier Vorgänge dieser Akte</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Vorgang</w:t>
            </w:r>
          </w:p>
        </w:tc>
        <w:tc>
          <w:tcPr>
            <w:tcW w:type="dxa" w:w="4536"/>
          </w:tcPr>
          <w:p>
            <w:r>
              <w:rPr>
                <w:rFonts w:ascii="Times New Roman" w:hAnsi="Times New Roman"/>
                <w:b/>
                <w:sz w:val="20"/>
              </w:rPr>
              <w:t>Wirkung des Austritts</w:t>
            </w:r>
          </w:p>
        </w:tc>
      </w:tr>
      <w:tr>
        <w:tc>
          <w:tcPr>
            <w:tcW w:type="dxa" w:w="4536"/>
          </w:tcPr>
          <w:p>
            <w:r>
              <w:rPr>
                <w:rFonts w:ascii="Times New Roman" w:hAnsi="Times New Roman"/>
                <w:sz w:val="20"/>
              </w:rPr>
              <w:t>Kommunion beim Begräbnis (Aktenstück 06)</w:t>
            </w:r>
          </w:p>
        </w:tc>
        <w:tc>
          <w:tcPr>
            <w:tcW w:type="dxa" w:w="4536"/>
          </w:tcPr>
          <w:p>
            <w:r>
              <w:rPr>
                <w:rFonts w:ascii="Times New Roman" w:hAnsi="Times New Roman"/>
                <w:sz w:val="20"/>
              </w:rPr>
              <w:t>Nach dem Dekret 2012 grundsätzlich gesperrt; Rückweg über Gespräch und Wiederversöhnung — vor dem Termin klären, Ordinariat einbinden</w:t>
            </w:r>
          </w:p>
        </w:tc>
      </w:tr>
      <w:tr>
        <w:tc>
          <w:tcPr>
            <w:tcW w:type="dxa" w:w="4536"/>
          </w:tcPr>
          <w:p>
            <w:r>
              <w:rPr>
                <w:rFonts w:ascii="Times New Roman" w:hAnsi="Times New Roman"/>
                <w:sz w:val="20"/>
              </w:rPr>
              <w:t>Mitwirkung am Begräbnis</w:t>
            </w:r>
          </w:p>
        </w:tc>
        <w:tc>
          <w:tcPr>
            <w:tcW w:type="dxa" w:w="4536"/>
          </w:tcPr>
          <w:p>
            <w:r>
              <w:rPr>
                <w:rFonts w:ascii="Times New Roman" w:hAnsi="Times New Roman"/>
                <w:sz w:val="20"/>
              </w:rPr>
              <w:t>Lesung/Fürbitten sind keine Sakramente; pastorale Abwägung möglich, öffentliche kirchliche Funktionen scheiden aus</w:t>
            </w:r>
          </w:p>
        </w:tc>
      </w:tr>
      <w:tr>
        <w:tc>
          <w:tcPr>
            <w:tcW w:type="dxa" w:w="4536"/>
          </w:tcPr>
          <w:p>
            <w:r>
              <w:rPr>
                <w:rFonts w:ascii="Times New Roman" w:hAnsi="Times New Roman"/>
                <w:sz w:val="20"/>
              </w:rPr>
              <w:t>Mischehe der Tochter (Aktenstück 05)</w:t>
            </w:r>
          </w:p>
        </w:tc>
        <w:tc>
          <w:tcPr>
            <w:tcW w:type="dxa" w:w="4536"/>
          </w:tcPr>
          <w:p>
            <w:r>
              <w:rPr>
                <w:rFonts w:ascii="Times New Roman" w:hAnsi="Times New Roman"/>
                <w:sz w:val="20"/>
              </w:rPr>
              <w:t>Unberührt — Kunigunde ist nicht ausgetreten; der Status der Mutter ist für Formpflicht und Erlaubnis ohne Belang</w:t>
            </w:r>
          </w:p>
        </w:tc>
      </w:tr>
      <w:tr>
        <w:tc>
          <w:tcPr>
            <w:tcW w:type="dxa" w:w="4536"/>
          </w:tcPr>
          <w:p>
            <w:r>
              <w:rPr>
                <w:rFonts w:ascii="Times New Roman" w:hAnsi="Times New Roman"/>
                <w:sz w:val="20"/>
              </w:rPr>
              <w:t>Orgelspende (Aktenstück 08)</w:t>
            </w:r>
          </w:p>
        </w:tc>
        <w:tc>
          <w:tcPr>
            <w:tcW w:type="dxa" w:w="4536"/>
          </w:tcPr>
          <w:p>
            <w:r>
              <w:rPr>
                <w:rFonts w:ascii="Times New Roman" w:hAnsi="Times New Roman"/>
                <w:sz w:val="20"/>
              </w:rPr>
              <w:t>Annahme von Zuwendungen Ausgetretener ist nicht verboten; Zweckbindung und Gremien beachten</w:t>
            </w:r>
          </w:p>
        </w:tc>
      </w:tr>
    </w:tbl>
    <w:p>
      <w:pPr>
        <w:pStyle w:val="Heading2"/>
      </w:pPr>
      <w:r>
        <w:rPr>
          <w:rFonts w:ascii="Times New Roman" w:hAnsi="Times New Roman"/>
        </w:rPr>
        <w:t>Empfehlung an den Pfarrer</w:t>
      </w:r>
    </w:p>
    <w:p>
      <w:pPr>
        <w:pStyle w:val="ListNumber"/>
      </w:pPr>
      <w:r>
        <w:t xml:space="preserve">Persönliches Gespräch mit Adelgund </w:t>
      </w:r>
      <w:r>
        <w:rPr>
          <w:b/>
        </w:rPr>
        <w:t>vor</w:t>
      </w:r>
      <w:r>
        <w:t xml:space="preserve"> dem Begräbnistermin; Ziel: Bereitschaft zur Wiederversöhnung klären und den diözesanen Rückkehrweg (Erklärung, Gespräch, ggf. Beichte) anstoßen — Rückfrage ans Ordinariat läuft (Aktenstücke 09, 17).</w:t>
      </w:r>
    </w:p>
    <w:p>
      <w:pPr>
        <w:pStyle w:val="ListNumber"/>
      </w:pPr>
      <w:r>
        <w:t>Keine Konfrontation an der Kommunionbank — die Lage ist vor der Liturgie zu lösen; die Würde des Begräbnisses von Mechthild (die nicht ausgetreten war, c. 1184 CIC also nicht einschlägig) hat Vorrang.</w:t>
      </w:r>
    </w:p>
    <w:p>
      <w:pPr>
        <w:pStyle w:val="ListNumber"/>
      </w:pPr>
      <w:r>
        <w:t>Gesprächsdokumentation ins Pfarrarchiv; Randvermerk im Taufbuch erst nach förmlicher Rückkehr ändern (Aktenstück 03).</w:t>
      </w:r>
    </w:p>
    <w:p>
      <w:pPr>
        <w:pStyle w:val="Heading2"/>
      </w:pPr>
      <w:r>
        <w:rPr>
          <w:rFonts w:ascii="Times New Roman" w:hAnsi="Times New Roman"/>
        </w:rPr>
        <w:t>Offene Punkte</w:t>
      </w:r>
    </w:p>
    <w:p>
      <w:pPr>
        <w:pStyle w:val="ListBullet"/>
      </w:pPr>
      <w:r>
        <w:t>Zuständige Diözese für den Rückkehrweg (Wohnsitz- vs. Taufpfarrei) klären.</w:t>
      </w:r>
    </w:p>
    <w:p>
      <w:pPr>
        <w:pStyle w:val="ListBullet"/>
      </w:pPr>
      <w:r>
        <w:t>Diözesane Wiederaufnahmeordnung beim Ordinariat erfragen.</w:t>
      </w:r>
    </w:p>
    <w:p>
      <w:pPr>
        <w:pStyle w:val="ListBullet"/>
      </w:pPr>
      <w:r>
        <w:t>Hinweis an Adelgund: kirchensteuerliche Folgen einer Rückkehr (KiStG des Landes) beim Steuerberater klären — nicht Aufgabe der Pfarrei.</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