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Eheakte: Mischehe, Formpflicht und mögliche Nichtigkeitsfrage</w:t>
      </w:r>
    </w:p>
    <w:p>
      <w:pPr>
        <w:pStyle w:val="Heading2"/>
      </w:pPr>
      <w:r>
        <w:rPr>
          <w:rFonts w:ascii="Times New Roman" w:hAnsi="Times New Roman"/>
        </w:rPr>
        <w:t>Sachstand</w:t>
      </w:r>
    </w:p>
    <w:p>
      <w:pPr>
        <w:jc w:val="left"/>
      </w:pPr>
      <w:r>
        <w:t xml:space="preserve">Kunigunde von Rabenfels (katholisch getauft, nicht ausgetreten) will Jasper Ellingworth heiraten. Jasper ist </w:t>
      </w:r>
      <w:r>
        <w:rPr>
          <w:b/>
        </w:rPr>
        <w:t>anglikanisch getauft</w:t>
      </w:r>
      <w:r>
        <w:t xml:space="preserve"> (Church of England, Taufschein der Pfarrei St. Botolph liegt vor, beglaubigte Übersetzung angefordert). Die Trauung soll in der katholischen Pfarrkirche Sancta Caecilia stattfinden. Beide wünschen eine Messe; Jasper möchte "nichts unterschreiben, was sein Gewissen bindet".</w:t>
      </w:r>
    </w:p>
    <w:p>
      <w:pPr>
        <w:pStyle w:val="Heading2"/>
      </w:pPr>
      <w:r>
        <w:rPr>
          <w:rFonts w:ascii="Times New Roman" w:hAnsi="Times New Roman"/>
        </w:rPr>
        <w:t>Kanonische Einordnung</w:t>
      </w:r>
    </w:p>
    <w:p>
      <w:pPr>
        <w:pStyle w:val="Heading3"/>
      </w:pPr>
      <w:r>
        <w:rPr>
          <w:rFonts w:ascii="Times New Roman" w:hAnsi="Times New Roman"/>
        </w:rPr>
        <w:t>1. Mischehe, nicht Religionsverschiedenheit</w:t>
      </w:r>
    </w:p>
    <w:p>
      <w:pPr>
        <w:jc w:val="left"/>
      </w:pPr>
      <w:r>
        <w:t xml:space="preserve">Jasper ist gültig getauft (anglikanische Taufe wird anerkannt: Materie, Form, Intention — Taufschein prüfen). Damit liegt eine </w:t>
      </w:r>
      <w:r>
        <w:rPr>
          <w:b/>
        </w:rPr>
        <w:t>Mischehe</w:t>
      </w:r>
      <w:r>
        <w:t xml:space="preserve"> nach </w:t>
      </w:r>
      <w:r>
        <w:rPr>
          <w:b/>
        </w:rPr>
        <w:t>c. 1124 CIC</w:t>
      </w:r>
      <w:r>
        <w:t xml:space="preserve"> vor (Ehe zwischen einer katholischen und einer getauften nichtkatholischen Partei) — </w:t>
      </w:r>
      <w:r>
        <w:rPr>
          <w:b/>
        </w:rPr>
        <w:t>kein</w:t>
      </w:r>
      <w:r>
        <w:t xml:space="preserve"> trennendes Ehehindernis der Religionsverschiedenheit nach c. 1086 CIC (das nur bei Ungetauften greift und Dispens erfordern würde).</w:t>
      </w:r>
    </w:p>
    <w:p>
      <w:pPr>
        <w:pStyle w:val="Heading3"/>
      </w:pPr>
      <w:r>
        <w:rPr>
          <w:rFonts w:ascii="Times New Roman" w:hAnsi="Times New Roman"/>
        </w:rPr>
        <w:t>2. Erlaubnis statt Dispens</w:t>
      </w:r>
    </w:p>
    <w:p>
      <w:pPr>
        <w:pStyle w:val="ListBullet"/>
      </w:pPr>
      <w:r>
        <w:rPr>
          <w:b/>
        </w:rPr>
        <w:t>c. 1124 CIC</w:t>
      </w:r>
      <w:r>
        <w:t xml:space="preserve">: Die Mischehe ist ohne ausdrückliche </w:t>
      </w:r>
      <w:r>
        <w:rPr>
          <w:b/>
        </w:rPr>
        <w:t>Erlaubnis (licentia)</w:t>
      </w:r>
      <w:r>
        <w:t xml:space="preserve"> der zuständigen Autorität verboten — aber gültig auch ohne sie (Verbots-, kein Nichtigkeitstatbestand).</w:t>
      </w:r>
    </w:p>
    <w:p>
      <w:pPr>
        <w:pStyle w:val="ListBullet"/>
      </w:pPr>
      <w:r>
        <w:rPr>
          <w:b/>
        </w:rPr>
        <w:t>c. 1125 CIC</w:t>
      </w:r>
      <w:r>
        <w:t xml:space="preserve">: Der Ortsordinarius kann die Erlaubnis erteilen bei gerechtem und vernünftigem Grund, wenn (1) die katholische Partei erklärt, Gefahren des Glaubensabfalls abzuwenden, und </w:t>
      </w:r>
      <w:r>
        <w:rPr>
          <w:b/>
        </w:rPr>
        <w:t>verspricht, alles in ihren Kräften Stehende zu tun</w:t>
      </w:r>
      <w:r>
        <w:t xml:space="preserve">, damit die Kinder katholisch getauft und erzogen werden; (2) die andere Partei über diese Versprechen </w:t>
      </w:r>
      <w:r>
        <w:rPr>
          <w:b/>
        </w:rPr>
        <w:t>rechtzeitig informiert</w:t>
      </w:r>
      <w:r>
        <w:t xml:space="preserve"> wird; (3) beide über Wesenseigenschaften und Ziele der Ehe (c. 1055, 1056: Einheit, Unauflöslichkeit, Gattenwohl, Nachkommenschaft) belehrt werden und sie nicht ausschließen.</w:t>
      </w:r>
    </w:p>
    <w:p>
      <w:pPr>
        <w:pStyle w:val="ListBullet"/>
      </w:pPr>
      <w:r>
        <w:t xml:space="preserve">Wichtig für Jaspers Sorge: </w:t>
      </w:r>
      <w:r>
        <w:rPr>
          <w:b/>
        </w:rPr>
        <w:t>Nur die katholische Partei verspricht.</w:t>
      </w:r>
      <w:r>
        <w:t xml:space="preserve"> Jasper unterschreibt nichts über die Kindererziehung — er nimmt die Erklärung Kunigundes lediglich zur Kenntnis. Das löst seine Gewissensbedenken regelmäßig auf.</w:t>
      </w:r>
    </w:p>
    <w:p>
      <w:pPr>
        <w:pStyle w:val="Heading3"/>
      </w:pPr>
      <w:r>
        <w:rPr>
          <w:rFonts w:ascii="Times New Roman" w:hAnsi="Times New Roman"/>
        </w:rPr>
        <w:t>3. Formpflicht und Trauungsform</w:t>
      </w:r>
    </w:p>
    <w:p>
      <w:pPr>
        <w:pStyle w:val="ListBullet"/>
      </w:pPr>
      <w:r>
        <w:rPr>
          <w:b/>
        </w:rPr>
        <w:t>c. 1108 CIC</w:t>
      </w:r>
      <w:r>
        <w:t xml:space="preserve">: Kanonische Eheschließungsform — Assistenz des Ortsordinarius/Pfarrers oder eines Delegierten plus zwei Zeugen. Kunigunde ist formpflichtig (c. 11; der Austritt der </w:t>
      </w:r>
      <w:r>
        <w:rPr>
          <w:b/>
        </w:rPr>
        <w:t>Mutter</w:t>
      </w:r>
      <w:r>
        <w:t xml:space="preserve"> ändert daran nichts).</w:t>
      </w:r>
    </w:p>
    <w:p>
      <w:pPr>
        <w:pStyle w:val="ListBullet"/>
      </w:pPr>
      <w:r>
        <w:t>Trauung in Sancta Caecilia: Der Pfarrer assistiert kraft Amtes (c. 530 n. 4), wenn mindestens eine Partei Wohnsitz/Quasiwohnsitz in der Pfarrei hat (c. 1115) — prüfen: Kunigunde wohnt im Pfarrgebiet (Meldebescheinigung in Aktenstück 02-Chronologie vermerkt).</w:t>
      </w:r>
    </w:p>
    <w:p>
      <w:pPr>
        <w:pStyle w:val="ListBullet"/>
      </w:pPr>
      <w:r>
        <w:rPr>
          <w:b/>
        </w:rPr>
        <w:t>Liturgische Form</w:t>
      </w:r>
      <w:r>
        <w:t xml:space="preserve">: Bei Mischehen ist die Trauung </w:t>
      </w:r>
      <w:r>
        <w:rPr>
          <w:b/>
        </w:rPr>
        <w:t>innerhalb der Messe möglich</w:t>
      </w:r>
      <w:r>
        <w:t>, aber pastoral abzuwägen (Kommunionempfang des anglikanischen Partners richtet sich nach c. 844 § 4 — Einzelfallentscheidung, nicht Regelfall). Empfehlung: Wortgottesdienst-Form mit anglikanischem Geistlichen als Gast (gemeinsames Gebet, keine Konzelebration).</w:t>
      </w:r>
    </w:p>
    <w:p>
      <w:pPr>
        <w:pStyle w:val="Heading3"/>
      </w:pPr>
      <w:r>
        <w:rPr>
          <w:rFonts w:ascii="Times New Roman" w:hAnsi="Times New Roman"/>
        </w:rPr>
        <w:t>4. Dokumentation</w:t>
      </w:r>
    </w:p>
    <w:p>
      <w:pPr>
        <w:pStyle w:val="ListBullet"/>
      </w:pPr>
      <w:r>
        <w:t>Ehevorbereitungsprotokoll (Diözesanformular) mit: Taufscheine beider (katholischer Taufschein neueren Datums, max. 6 Monate, mit Ledigennachweis aus dem Taufbuch), Erklärung/Versprechen Kunigundes nach c. 1125, Kenntnisnahme Jaspers, Belehrungsvermerk.</w:t>
      </w:r>
    </w:p>
    <w:p>
      <w:pPr>
        <w:pStyle w:val="ListBullet"/>
      </w:pPr>
      <w:r>
        <w:t>Erlaubnisantrag (licentia) an das Ordinariat — zusammen mit der Rückfrage zu Adelgund (Aktenstück 17) bündeln.</w:t>
      </w:r>
    </w:p>
    <w:p>
      <w:pPr>
        <w:pStyle w:val="ListBullet"/>
      </w:pPr>
      <w:r>
        <w:t>Eintrag ins Ehebuch und Meldung an die Taufpfarreien beider (c. 1121 f., bei Jasper: Mitteilung an St. Botolph höflich, aber ohne kanonische Pflicht).</w:t>
      </w:r>
    </w:p>
    <w:p>
      <w:pPr>
        <w:pStyle w:val="Heading2"/>
      </w:pPr>
      <w:r>
        <w:rPr>
          <w:rFonts w:ascii="Times New Roman" w:hAnsi="Times New Roman"/>
        </w:rPr>
        <w:t>Mögliche Nichtigkeitsfrage (vorsorglich)</w:t>
      </w:r>
    </w:p>
    <w:p>
      <w:pPr>
        <w:jc w:val="left"/>
      </w:pPr>
      <w:r>
        <w:t xml:space="preserve">Im Erstgespräch erwähnte Kunigunde eine </w:t>
      </w:r>
      <w:r>
        <w:rPr>
          <w:b/>
        </w:rPr>
        <w:t>frühere standesamtliche Ehe Jaspers</w:t>
      </w:r>
      <w:r>
        <w:t xml:space="preserve"> (2014-2017, geschieden, keine Kinder). Prüfspur:</w:t>
      </w:r>
    </w:p>
    <w:p>
      <w:pPr>
        <w:pStyle w:val="ListNumber"/>
      </w:pPr>
      <w:r>
        <w:t xml:space="preserve">War Jaspers frühere Partnerin getauft? Wenn beide getauft: Die standesamtliche Ehe zweier Anglikaner ist </w:t>
      </w:r>
      <w:r>
        <w:rPr>
          <w:b/>
        </w:rPr>
        <w:t>kanonisch gültig</w:t>
      </w:r>
      <w:r>
        <w:t xml:space="preserve"> möglich (Anglikaner unterliegen nicht der katholischen Formpflicht, c. 1108 gilt nur für Katholiken) — dann bestünde das </w:t>
      </w:r>
      <w:r>
        <w:rPr>
          <w:b/>
        </w:rPr>
        <w:t>Ehehindernis des Ehebandes (c. 1085 CIC)</w:t>
      </w:r>
      <w:r>
        <w:t>, und die neue Trauung wäre erst nach Nichtigerklärung oder Tod der früheren Partnerin möglich.</w:t>
      </w:r>
    </w:p>
    <w:p>
      <w:pPr>
        <w:pStyle w:val="ListNumber"/>
      </w:pPr>
      <w:r>
        <w:t xml:space="preserve">Das wäre kein Mischehen-Problem, sondern ein Ligamen-Problem — </w:t>
      </w:r>
      <w:r>
        <w:rPr>
          <w:b/>
        </w:rPr>
        <w:t>vorrangig zu klären</w:t>
      </w:r>
      <w:r>
        <w:t>, bevor Termine zugesagt werden.</w:t>
      </w:r>
    </w:p>
    <w:p>
      <w:pPr>
        <w:pStyle w:val="ListNumber"/>
      </w:pPr>
      <w:r>
        <w:t>Unterlagen anfordern: Heiratsurkunde 2014, Scheidungsurteil 2017, Taufstatus der früheren Partnerin. Bei bestätigtem Ligamen: Verweis an das Offizialat (Ehenichtigkeitsverfahren, cc. 1671 ff.; Dauer realistisch 12-18 Monate — Termin Hochzeit nicht vorher fixieren).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pStyle w:val="ListNumber"/>
      </w:pPr>
      <w:r>
        <w:rPr>
          <w:b/>
        </w:rPr>
        <w:t>Zuerst</w:t>
      </w:r>
      <w:r>
        <w:t xml:space="preserve"> die Ligamen-Frage klären (Unterlagen Jasper) — alles andere ist nachrangig.</w:t>
      </w:r>
    </w:p>
    <w:p>
      <w:pPr>
        <w:pStyle w:val="ListNumber"/>
      </w:pPr>
      <w:r>
        <w:t>Parallel Ehevorbereitungsprotokoll beginnen, Erlaubnisantrag vorbereiten.</w:t>
      </w:r>
    </w:p>
    <w:p>
      <w:pPr>
        <w:pStyle w:val="ListNumber"/>
      </w:pPr>
      <w:r>
        <w:t>Liturgische Form im Brautgespräch klären; anglikanischen Geistlichen frühzeitig einladen.</w:t>
      </w:r>
    </w:p>
    <w:p>
      <w:pPr>
        <w:pStyle w:val="ListNumber"/>
      </w:pPr>
      <w:r>
        <w:t>Keine Terminzusage für die Kirche, bevor Ordinariat und Ligamen-Prüfung durch sind.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