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Sakramentenzulassung, Kommunion und Beichte</w:t>
      </w:r>
    </w:p>
    <w:p>
      <w:pPr>
        <w:pStyle w:val="Heading2"/>
      </w:pPr>
      <w:r>
        <w:rPr>
          <w:rFonts w:ascii="Times New Roman" w:hAnsi="Times New Roman"/>
        </w:rPr>
        <w:t>Sachstand</w:t>
      </w:r>
    </w:p>
    <w:p>
      <w:pPr>
        <w:jc w:val="left"/>
      </w:pPr>
      <w:r>
        <w:t>Adelgund von Rabenfels fragt, ob sie bei der Beerdigung ihrer Mutter Mechthild zur Kommunion gehen darf. Sie ist katholisch getauft, 2019 staatlich ausgetreten (Aktenstück 04), besucht gelegentlich die Abendmesse und beschreibt sich als "gläubig, aber mit der Institution zerstritten". Das Begräbnis ist in elf Tagen angesetzt.</w:t>
      </w:r>
    </w:p>
    <w:p>
      <w:pPr>
        <w:pStyle w:val="Heading2"/>
      </w:pPr>
      <w:r>
        <w:rPr>
          <w:rFonts w:ascii="Times New Roman" w:hAnsi="Times New Roman"/>
        </w:rPr>
        <w:t>Kanonische Prüfspur</w:t>
      </w:r>
    </w:p>
    <w:p>
      <w:pPr>
        <w:pStyle w:val="Heading3"/>
      </w:pPr>
      <w:r>
        <w:rPr>
          <w:rFonts w:ascii="Times New Roman" w:hAnsi="Times New Roman"/>
        </w:rPr>
        <w:t>1. Grundnorm: c. 912 CIC</w:t>
      </w:r>
    </w:p>
    <w:p>
      <w:pPr>
        <w:jc w:val="left"/>
      </w:pPr>
      <w:r>
        <w:t>Jeder Getaufte, dem es rechtlich nicht verboten ist, kann und muss zur heiligen Kommunion zugelassen werden. Die Frage ist also: Besteht ein rechtliches Verbot?</w:t>
      </w:r>
    </w:p>
    <w:p>
      <w:pPr>
        <w:pStyle w:val="Heading3"/>
      </w:pPr>
      <w:r>
        <w:rPr>
          <w:rFonts w:ascii="Times New Roman" w:hAnsi="Times New Roman"/>
        </w:rPr>
        <w:t>2. Die beiden Sperren</w:t>
      </w:r>
    </w:p>
    <w:p>
      <w:pPr>
        <w:pStyle w:val="ListBullet"/>
      </w:pPr>
      <w:r>
        <w:rPr>
          <w:b/>
        </w:rPr>
        <w:t>c. 915 CIC</w:t>
      </w:r>
      <w:r>
        <w:t xml:space="preserve"> (Sperre von Amts wegen): Nicht zuzulassen sind Exkommunizierte und Interdizierte nach Verhängung/Feststellung der Strafe sowie jene, die </w:t>
      </w:r>
      <w:r>
        <w:rPr>
          <w:b/>
        </w:rPr>
        <w:t>hartnäckig in offenkundiger schwerer Sünde verharren</w:t>
      </w:r>
      <w:r>
        <w:t>. Das DBK-Dekret vom 20.09.2012 ordnet den staatlichen Austritt als schwerwiegende öffentliche Distanzierung ein und schließt vom Sakramentenempfang aus — die Pfarrei darf Adelgund also nicht einfach "durchwinken", solange keine Wiederversöhnung erfolgt ist.</w:t>
      </w:r>
    </w:p>
    <w:p>
      <w:pPr>
        <w:pStyle w:val="ListBullet"/>
      </w:pPr>
      <w:r>
        <w:rPr>
          <w:b/>
        </w:rPr>
        <w:t>c. 916 CIC</w:t>
      </w:r>
      <w:r>
        <w:t xml:space="preserve"> (Sperre im Gewissen): Wer sich einer schweren Sünde bewusst ist, soll ohne vorherige sakramentale Beichte weder zelebrieren noch kommunizieren — das ist die Ebene Adelgunds eigener Gewissensprüfung.</w:t>
      </w:r>
    </w:p>
    <w:p>
      <w:pPr>
        <w:pStyle w:val="Heading3"/>
      </w:pPr>
      <w:r>
        <w:rPr>
          <w:rFonts w:ascii="Times New Roman" w:hAnsi="Times New Roman"/>
        </w:rPr>
        <w:t>3. Der Rückweg in elf Tagen — realistisch</w:t>
      </w:r>
    </w:p>
    <w:p>
      <w:pPr>
        <w:pStyle w:val="ListNumber"/>
      </w:pPr>
      <w:r>
        <w:rPr>
          <w:b/>
        </w:rPr>
        <w:t>Gespräch mit dem Pfarrer</w:t>
      </w:r>
      <w:r>
        <w:t xml:space="preserve"> (Termin diese Woche): Bereitschaft zur Wiederversöhnung klären. Adelgunds Motivlage (Steuer, nicht Glaubensabfall) spricht dafür, dass keine Apostasie vorliegt — das erleichtert den Weg.</w:t>
      </w:r>
    </w:p>
    <w:p>
      <w:pPr>
        <w:pStyle w:val="ListNumber"/>
      </w:pPr>
      <w:r>
        <w:rPr>
          <w:b/>
        </w:rPr>
        <w:t>Diözesaner Wiederaufnahmeweg</w:t>
      </w:r>
      <w:r>
        <w:t xml:space="preserve">: Nach verbreiteter diözesaner Ordnung genügen schriftliche Wiederaufnahmeerklärung gegenüber dem Pfarrer mit Zustimmung des Ordinariats; manche Bistümer verlangen ein dokumentiertes Glaubensgespräch. Rückfrage läuft (Aktenstück 17) — </w:t>
      </w:r>
      <w:r>
        <w:rPr>
          <w:b/>
        </w:rPr>
        <w:t>Eilvermerk</w:t>
      </w:r>
      <w:r>
        <w:t xml:space="preserve"> wegen des Begräbnistermins setzen.</w:t>
      </w:r>
    </w:p>
    <w:p>
      <w:pPr>
        <w:pStyle w:val="ListNumber"/>
      </w:pPr>
      <w:r>
        <w:rPr>
          <w:b/>
        </w:rPr>
        <w:t>Beichte</w:t>
      </w:r>
      <w:r>
        <w:t>: Unabhängig vom äußeren Verfahren (forum externum) steht die sakramentale Versöhnung (forum internum). Empfehlung: Beichtgelegenheit vor dem Begräbnis anbieten — c. 916 wäre damit ebenfalls beantwortet. Beachte: Die Lossprechung von der mit dem Austritt verbundenen Lage kann nach diözesanem Recht dem Ordinarius vorbehalten sein — der Beichtvater klärt seine Befugnis vorher (c. 508, Paenitentiarie-Anfrage falls nötig).</w:t>
      </w:r>
    </w:p>
    <w:p>
      <w:pPr>
        <w:pStyle w:val="ListNumber"/>
      </w:pPr>
      <w:r>
        <w:rPr>
          <w:b/>
        </w:rPr>
        <w:t>Kein öffentlicher Konflikt</w:t>
      </w:r>
      <w:r>
        <w:t xml:space="preserve">: Falls die Wiederversöhnung bis zum Begräbnis nicht gelingt, wird Adelgund </w:t>
      </w:r>
      <w:r>
        <w:rPr>
          <w:b/>
        </w:rPr>
        <w:t>vorab und unter vier Augen</w:t>
      </w:r>
      <w:r>
        <w:t xml:space="preserve"> gebeten, auf den Kommunionempfang zu verzichten; eine Zurückweisung an der Kommunionbank findet nicht statt. Alternativ: Segensgestus (Arme gekreuzt) anbieten — pastoral eingeführt, kanonisch unbedenklich.</w:t>
      </w:r>
    </w:p>
    <w:p>
      <w:pPr>
        <w:pStyle w:val="Heading3"/>
      </w:pPr>
      <w:r>
        <w:rPr>
          <w:rFonts w:ascii="Times New Roman" w:hAnsi="Times New Roman"/>
        </w:rPr>
        <w:t>4. Abgrenzung: Mitwirkung am Begräbnis</w:t>
      </w:r>
    </w:p>
    <w:p>
      <w:pPr>
        <w:jc w:val="left"/>
      </w:pPr>
      <w:r>
        <w:t xml:space="preserve">Lesung, Fürbitte, Wortbeitrag am Grab sind </w:t>
      </w:r>
      <w:r>
        <w:rPr>
          <w:b/>
        </w:rPr>
        <w:t>keine Sakramente</w:t>
      </w:r>
      <w:r>
        <w:t xml:space="preserve"> und keine kirchlichen Ämter im Sinne des DBK-Dekrets. Pastorale Abwägung: Die Mitwirkung der Tochter am Begräbnis der Mutter ist regelmäßig zuzulassen — sie widerspricht weder c. 915 noch dem Dekret und dient der Versöhnung mehr als jede Verweigerung.</w:t>
      </w:r>
    </w:p>
    <w:p>
      <w:pPr>
        <w:pStyle w:val="Heading3"/>
      </w:pPr>
      <w:r>
        <w:rPr>
          <w:rFonts w:ascii="Times New Roman" w:hAnsi="Times New Roman"/>
        </w:rPr>
        <w:t>5. Das Begräbnis selbst</w:t>
      </w:r>
    </w:p>
    <w:p>
      <w:pPr>
        <w:jc w:val="left"/>
      </w:pPr>
      <w:r>
        <w:t>Mechthild Rabenfels war nicht ausgetreten und jahrzehntelang aktiv in der Pfarrei — das kirchliche Begräbnis ist selbstverständlich (c. 1176 ff. CIC); die Versagungsgründe des c. 1184 CIC (offenkundige Apostaten, Häretiker, Schismatiker; Wahl der Feuerbestattung aus glaubensfeindlichen Gründen; offenkundige Sünder mit Ärgernisgefahr) liegen ersichtlich nicht vor.</w:t>
      </w:r>
    </w:p>
    <w:p>
      <w:pPr>
        <w:pStyle w:val="Heading2"/>
      </w:pPr>
      <w:r>
        <w:rPr>
          <w:rFonts w:ascii="Times New Roman" w:hAnsi="Times New Roman"/>
        </w:rPr>
        <w:t>Empfehlung</w:t>
      </w:r>
    </w:p>
    <w:p>
      <w:pPr>
        <w:pStyle w:val="ListNumber"/>
      </w:pPr>
      <w:r>
        <w:t>Heute: Pfarrer vereinbart Gespräch mit Adelgund; Ordinariat erhält Eilvermerk zur Wiederaufnahme (Aktenstück 17 ergänzen).</w:t>
      </w:r>
    </w:p>
    <w:p>
      <w:pPr>
        <w:pStyle w:val="ListNumber"/>
      </w:pPr>
      <w:r>
        <w:t>Beichtangebot vor dem Begräbnis; Beichtvater klärt vorab seine Absolutionsbefugnis.</w:t>
      </w:r>
    </w:p>
    <w:p>
      <w:pPr>
        <w:pStyle w:val="ListNumber"/>
      </w:pPr>
      <w:r>
        <w:t>Liturgieplanung: Mitwirkung Adelgunds (Lesung) einplanen — unabhängig vom Ausgang der Kommunionfrage.</w:t>
      </w:r>
    </w:p>
    <w:p>
      <w:pPr>
        <w:pStyle w:val="ListNumber"/>
      </w:pPr>
      <w:r>
        <w:t>Falls Wiederversöhnung rechtzeitig: kurzer Aktenvermerk, Randvermerk-Korrektur im Taufbuch (Aktenstück 03) einleiten.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