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Pfarrvermögen: zweckgebundene Spende für die Orgel</w:t>
      </w:r>
    </w:p>
    <w:p>
      <w:pPr>
        <w:pStyle w:val="Heading2"/>
      </w:pPr>
      <w:r>
        <w:rPr>
          <w:rFonts w:ascii="Times New Roman" w:hAnsi="Times New Roman"/>
        </w:rPr>
        <w:t>Sachstand</w:t>
      </w:r>
    </w:p>
    <w:p>
      <w:pPr>
        <w:jc w:val="left"/>
      </w:pPr>
      <w:r>
        <w:t xml:space="preserve">Die Familie von Rabenfels bietet </w:t>
      </w:r>
      <w:r>
        <w:rPr>
          <w:b/>
        </w:rPr>
        <w:t>180.000 EUR</w:t>
      </w:r>
      <w:r>
        <w:t xml:space="preserve"> für die Restaurierung der historischen Orgel (Walcker-Orgel von 1897, denkmalgeschützt) an. Das Angebot kam im Trauergespräch; es soll "dem Andenken von Mechthild Rabenfels" gewidmet sein. Gewünscht werden: Namensnennung auf einer Stiftertafel, jährlich eine Messe in ihrem Gedenken und "ein Mitspracherecht bei der Auswahl des Orgelbauers". Teil des Betrags (60.000 EUR) soll von Adelgund kommen — der 2019 Ausgetretenen.</w:t>
      </w:r>
    </w:p>
    <w:p>
      <w:pPr>
        <w:pStyle w:val="Heading2"/>
      </w:pPr>
      <w:r>
        <w:rPr>
          <w:rFonts w:ascii="Times New Roman" w:hAnsi="Times New Roman"/>
        </w:rPr>
        <w:t>Kanonische Prüfung</w:t>
      </w:r>
    </w:p>
    <w:p>
      <w:pPr>
        <w:pStyle w:val="Heading3"/>
      </w:pPr>
      <w:r>
        <w:rPr>
          <w:rFonts w:ascii="Times New Roman" w:hAnsi="Times New Roman"/>
        </w:rPr>
        <w:t>1. Annahmebefugnis</w:t>
      </w:r>
    </w:p>
    <w:p>
      <w:pPr>
        <w:pStyle w:val="ListBullet"/>
      </w:pPr>
      <w:r>
        <w:rPr>
          <w:b/>
        </w:rPr>
        <w:t>c. 1267 § 1 CIC</w:t>
      </w:r>
      <w:r>
        <w:t>: Spenden an die Pfarrei gelten als der juristischen Person Pfarrei (c. 515 § 3) gegeben; der Pfarrer vertritt sie (c. 532).</w:t>
      </w:r>
    </w:p>
    <w:p>
      <w:pPr>
        <w:pStyle w:val="ListBullet"/>
      </w:pPr>
      <w:r>
        <w:rPr>
          <w:b/>
        </w:rPr>
        <w:t>c. 1267 § 2 CIC</w:t>
      </w:r>
      <w:r>
        <w:t xml:space="preserve">: Annahme darf bei </w:t>
      </w:r>
      <w:r>
        <w:rPr>
          <w:b/>
        </w:rPr>
        <w:t>Auflagen oder Bedingungen</w:t>
      </w:r>
      <w:r>
        <w:t xml:space="preserve"> nur mit Erlaubnis des Ordinarius erfolgen, wenn die Auflage die Vermögenssubstanz oder dauerhafte Verpflichtungen betrifft — hier einschlägig: jährliche Gedenkmesse als </w:t>
      </w:r>
      <w:r>
        <w:rPr>
          <w:b/>
        </w:rPr>
        <w:t>Dauerverpflichtung</w:t>
      </w:r>
      <w:r>
        <w:t>, dazu das verlangte Mitspracherecht.</w:t>
      </w:r>
    </w:p>
    <w:p>
      <w:pPr>
        <w:pStyle w:val="ListBullet"/>
      </w:pPr>
      <w:r>
        <w:rPr>
          <w:b/>
        </w:rPr>
        <w:t>Schwellenwerte</w:t>
      </w:r>
      <w:r>
        <w:t xml:space="preserve">: Diözesane Vermögensordnungen verlangen ab bestimmten Beträgen (häufig 25.000-50.000 EUR) die Genehmigung des Ordinariats für Annahme und Verwendung; 180.000 EUR liegt sicher darüber. </w:t>
      </w:r>
      <w:r>
        <w:rPr>
          <w:b/>
        </w:rPr>
        <w:t>Genehmigungsantrag erforderlich.</w:t>
      </w:r>
    </w:p>
    <w:p>
      <w:pPr>
        <w:pStyle w:val="Heading3"/>
      </w:pPr>
      <w:r>
        <w:rPr>
          <w:rFonts w:ascii="Times New Roman" w:hAnsi="Times New Roman"/>
        </w:rPr>
        <w:t>2. Gremienbeteiligung</w:t>
      </w:r>
    </w:p>
    <w:p>
      <w:pPr>
        <w:pStyle w:val="ListBullet"/>
      </w:pPr>
      <w:r>
        <w:rPr>
          <w:b/>
        </w:rPr>
        <w:t>Kirchenvermögensverwaltungsrat / Kirchenverwaltung</w:t>
      </w:r>
      <w:r>
        <w:t xml:space="preserve"> (je nach Diözese; partikularrechtlich auf Grundlage von c. 537 CIC): Beschluss über Annahme, Zweckbindung und Auftragsvergabe.</w:t>
      </w:r>
    </w:p>
    <w:p>
      <w:pPr>
        <w:pStyle w:val="ListBullet"/>
      </w:pPr>
      <w:r>
        <w:t xml:space="preserve">Bei Bauarbeiten an der denkmalgeschützten Orgel: zusätzlich diözesanes Bauamt und staatlicher </w:t>
      </w:r>
      <w:r>
        <w:rPr>
          <w:b/>
        </w:rPr>
        <w:t>Denkmalschutz</w:t>
      </w:r>
      <w:r>
        <w:t xml:space="preserve"> (Landesdenkmalamt; Orgel als Ausstattungsstück des Baudenkmals) — Vergabe nicht ohne denkmalfachliche Freigabe.</w:t>
      </w:r>
    </w:p>
    <w:p>
      <w:pPr>
        <w:pStyle w:val="Heading3"/>
      </w:pPr>
      <w:r>
        <w:rPr>
          <w:rFonts w:ascii="Times New Roman" w:hAnsi="Times New Roman"/>
        </w:rPr>
        <w:t>3. Zweckbindung und ihre Grenzen</w:t>
      </w:r>
    </w:p>
    <w:p>
      <w:pPr>
        <w:pStyle w:val="ListBullet"/>
      </w:pPr>
      <w:r>
        <w:rPr>
          <w:b/>
        </w:rPr>
        <w:t>c. 1300 CIC</w:t>
      </w:r>
      <w:r>
        <w:t xml:space="preserve">: Der Wille des Gebers ist, einmal angenommen, </w:t>
      </w:r>
      <w:r>
        <w:rPr>
          <w:b/>
        </w:rPr>
        <w:t>strikt zu beachten</w:t>
      </w:r>
      <w:r>
        <w:t xml:space="preserve"> — auch hinsichtlich Verwendungszweck und Auflagen. Vor Annahme also prüfen, ob die Pfarrei jede Auflage dauerhaft erfüllen kann und will.</w:t>
      </w:r>
    </w:p>
    <w:p>
      <w:pPr>
        <w:pStyle w:val="ListBullet"/>
      </w:pPr>
      <w:r>
        <w:rPr>
          <w:b/>
        </w:rPr>
        <w:t>Gedenkmesse</w:t>
      </w:r>
      <w:r>
        <w:t>: Als Messstipendium-Dauerlast einzuordnen (cc. 1303 § 1 n. 2, 1308 f. CIC — fromme Stiftung). Diözesen begrenzen die Laufzeit solcher Stiftungen regelmäßig (häufig 10-25 Jahre); eine "ewige" Zusage darf der Pfarrer nicht machen. Lösung: Stiftungsdauer schriftlich begrenzen, Reduktionsvorbehalt nach c. 1308 aufnehmen.</w:t>
      </w:r>
    </w:p>
    <w:p>
      <w:pPr>
        <w:pStyle w:val="ListBullet"/>
      </w:pPr>
      <w:r>
        <w:rPr>
          <w:b/>
        </w:rPr>
        <w:t>Mitspracherecht beim Orgelbauer</w:t>
      </w:r>
      <w:r>
        <w:t xml:space="preserve">: Kanonisch heikel — die Vergabeentscheidung liegt bei Pfarrei/Gremien/Bauamt. Zulässig ist ein </w:t>
      </w:r>
      <w:r>
        <w:rPr>
          <w:b/>
        </w:rPr>
        <w:t>Anhörungsrecht</w:t>
      </w:r>
      <w:r>
        <w:t>; ein Vetorecht der Spenderfamilie wäre mit der kirchlichen Vermögensverantwortung (c. 1284: Sorgfalt eines guten Hausvaters) unvereinbar. Im Schenkungsvertrag als "Konsultation, keine Zustimmungspflicht" formulieren.</w:t>
      </w:r>
    </w:p>
    <w:p>
      <w:pPr>
        <w:pStyle w:val="ListBullet"/>
      </w:pPr>
      <w:r>
        <w:rPr>
          <w:b/>
        </w:rPr>
        <w:t>Stiftertafel</w:t>
      </w:r>
      <w:r>
        <w:t>: Unbedenklich; Gestaltung mit Bauamt abstimmen.</w:t>
      </w:r>
    </w:p>
    <w:p>
      <w:pPr>
        <w:pStyle w:val="Heading3"/>
      </w:pPr>
      <w:r>
        <w:rPr>
          <w:rFonts w:ascii="Times New Roman" w:hAnsi="Times New Roman"/>
        </w:rPr>
        <w:t>4. Herkunft von Adelgunds Anteil</w:t>
      </w:r>
    </w:p>
    <w:p>
      <w:pPr>
        <w:jc w:val="left"/>
      </w:pPr>
      <w:r>
        <w:t xml:space="preserve">Die Annahme einer Spende von einer Ausgetretenen ist kirchenrechtlich </w:t>
      </w:r>
      <w:r>
        <w:rPr>
          <w:b/>
        </w:rPr>
        <w:t>nicht verboten</w:t>
      </w:r>
      <w:r>
        <w:t xml:space="preserve"> — der Ausschluss des DBK-Dekrets 2012 betrifft Sakramente, Ämter und Gremien, nicht Zuwendungen. Pastoral ist der Beitrag sogar ein Zeichen der Verbundenheit, das im Wiederversöhnungsgespräch (Aktenstück 06) gewürdigt werden kann. Steuerlich: Zuwendungsbestätigung (§ 10b EStG) kann die Pfarrei als kirchliche juristische Person des öffentlichen Rechts ausstellen — der Kirchenaustritt des Spenders ist dafür unerheblich.</w:t>
      </w:r>
    </w:p>
    <w:p>
      <w:pPr>
        <w:pStyle w:val="Heading3"/>
      </w:pPr>
      <w:r>
        <w:rPr>
          <w:rFonts w:ascii="Times New Roman" w:hAnsi="Times New Roman"/>
        </w:rPr>
        <w:t>5. Form</w:t>
      </w:r>
    </w:p>
    <w:p>
      <w:pPr>
        <w:jc w:val="left"/>
      </w:pPr>
      <w:r>
        <w:t xml:space="preserve">Empfohlen: </w:t>
      </w:r>
      <w:r>
        <w:rPr>
          <w:b/>
        </w:rPr>
        <w:t>schriftlicher Schenkungs-/Stiftungsvertrag</w:t>
      </w:r>
      <w:r>
        <w:t xml:space="preserve"> mit: Betrag und Zahlungsplan, Zweck (Orgelrestaurierung nach denkmalfachlicher Maßgabe), Stiftertafel-Text, Gedenkmesse (Anzahl, Laufzeit, Stipendienhöhe nach Diözesanordnung, Reduktionsvorbehalt c. 1308), Konsultationsrecht bei der Vergabe, Rückfallklausel bei Zweckfortfall (c. 1300-konform: Rückgabe oder zweckähnliche Verwendung mit Zustimmung des Ordinarius und Anhörung der Familie).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pStyle w:val="ListNumber"/>
      </w:pPr>
      <w:r>
        <w:t>Dankschreiben an die Familie, verbunden mit Hinweis: Annahme steht unter Gremien- und Ordinariatsvorbehalt.</w:t>
      </w:r>
    </w:p>
    <w:p>
      <w:pPr>
        <w:pStyle w:val="ListNumber"/>
      </w:pPr>
      <w:r>
        <w:t>Beschlussvorlage für den Vermögensverwaltungsrat (nächste Sitzung) mit Vertragsentwurf.</w:t>
      </w:r>
    </w:p>
    <w:p>
      <w:pPr>
        <w:pStyle w:val="ListNumber"/>
      </w:pPr>
      <w:r>
        <w:t>Genehmigungsantrag ans Ordinariat (mit Aktenstück 17 bündeln); parallel Voranfrage Landesdenkmalamt zur Orgelrestaurierung.</w:t>
      </w:r>
    </w:p>
    <w:p>
      <w:pPr>
        <w:pStyle w:val="ListNumber"/>
      </w:pPr>
      <w:r>
        <w:t>Drei Vergleichsangebote von Orgelbaufirmen einholen — Konsultation der Familie dokumentieren, Entscheidung bei den Gremien belassen.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