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English Canon Law Note — for the Anglican fiancé and St Botolph's Parish</w:t>
      </w:r>
    </w:p>
    <w:p>
      <w:pPr>
        <w:jc w:val="left"/>
      </w:pPr>
      <w:r>
        <w:rPr>
          <w:b/>
        </w:rPr>
        <w:t>From:</w:t>
      </w:r>
      <w:r>
        <w:t xml:space="preserve"> Parish Office Sancta Caecilia, Dr Burkhard Tessenow, Parish Priest</w:t>
      </w:r>
    </w:p>
    <w:p>
      <w:pPr>
        <w:jc w:val="left"/>
      </w:pPr>
      <w:r>
        <w:rPr>
          <w:b/>
        </w:rPr>
        <w:t>To:</w:t>
      </w:r>
      <w:r>
        <w:t xml:space="preserve"> The Revd Canon Hilary Marchbanks, St Botolph's, and Mr Jasper Ellingworth</w:t>
      </w:r>
    </w:p>
    <w:p>
      <w:pPr>
        <w:jc w:val="left"/>
      </w:pPr>
      <w:r>
        <w:rPr>
          <w:b/>
        </w:rPr>
        <w:t>Re: Forthcoming marriage of Mr Jasper Ellingworth and Ms Kunigunde von Rabenfels — canonical requirements on the Catholic side</w:t>
      </w:r>
    </w:p>
    <w:p>
      <w:pPr>
        <w:jc w:val="left"/>
      </w:pPr>
      <w:r>
        <w:t>Dear Canon Marchbanks, dear Mr Ellingworth,</w:t>
      </w:r>
    </w:p>
    <w:p>
      <w:pPr>
        <w:jc w:val="left"/>
      </w:pPr>
      <w:r>
        <w:t xml:space="preserve">Thank you for your kind enquiry. Allow me to set out, in plain terms, what Catholic canon law requires of us for the forthcoming wedding, and what it does </w:t>
      </w:r>
      <w:r>
        <w:rPr>
          <w:b/>
        </w:rPr>
        <w:t>not</w:t>
      </w:r>
      <w:r>
        <w:t xml:space="preserve"> require of Mr Ellingworth.</w:t>
      </w:r>
    </w:p>
    <w:p>
      <w:pPr>
        <w:pStyle w:val="Heading2"/>
      </w:pPr>
      <w:r>
        <w:rPr>
          <w:rFonts w:ascii="Times New Roman" w:hAnsi="Times New Roman"/>
        </w:rPr>
        <w:t>1. Two errors we are trying to avoid</w:t>
      </w:r>
    </w:p>
    <w:p>
      <w:pPr>
        <w:jc w:val="left"/>
      </w:pPr>
      <w:r>
        <w:t>The parish seeks to avoid two opposite mistakes: treating a civil withdrawal from the Church (a German peculiarity concerning Ms von Rabenfels' mother) as if baptism had disappeared — it cannot disappear (canon 849) — and treating the same withdrawal as if it had no ecclesial significance at all. Neither error affects the bride: Kunigunde remains a Catholic in good standing.</w:t>
      </w:r>
    </w:p>
    <w:p>
      <w:pPr>
        <w:pStyle w:val="Heading2"/>
      </w:pPr>
      <w:r>
        <w:rPr>
          <w:rFonts w:ascii="Times New Roman" w:hAnsi="Times New Roman"/>
        </w:rPr>
        <w:t>2. The marriage itself: a "mixed marriage", and what that means</w:t>
      </w:r>
    </w:p>
    <w:p>
      <w:pPr>
        <w:jc w:val="left"/>
      </w:pPr>
      <w:r>
        <w:t xml:space="preserve">Since Mr Ellingworth was baptised in the Church of England — a baptism we recognise without re-baptism — the union is a </w:t>
      </w:r>
      <w:r>
        <w:rPr>
          <w:b/>
        </w:rPr>
        <w:t>mixed marriage</w:t>
      </w:r>
      <w:r>
        <w:t xml:space="preserve"> under canon 1124, not a case of "disparity of cult" (canon 1086, which concerns the unbaptised). The practical consequences:</w:t>
      </w:r>
    </w:p>
    <w:p>
      <w:pPr>
        <w:pStyle w:val="ListBullet"/>
      </w:pPr>
      <w:r>
        <w:t xml:space="preserve">The parish needs a </w:t>
      </w:r>
      <w:r>
        <w:rPr>
          <w:b/>
        </w:rPr>
        <w:t>permission (licentia)</w:t>
      </w:r>
      <w:r>
        <w:t xml:space="preserve"> from the diocesan bishop's office, not a dispensation. This is routine.</w:t>
      </w:r>
    </w:p>
    <w:p>
      <w:pPr>
        <w:pStyle w:val="ListBullet"/>
      </w:pPr>
      <w:r>
        <w:t xml:space="preserve">Under canon 1125, </w:t>
      </w:r>
      <w:r>
        <w:rPr>
          <w:b/>
        </w:rPr>
        <w:t>only the Catholic party makes promises</w:t>
      </w:r>
      <w:r>
        <w:t xml:space="preserve">: Kunigunde declares that she will remain a Catholic and will do all in her power to have the children baptised and raised as Catholics. </w:t>
      </w:r>
      <w:r>
        <w:rPr>
          <w:b/>
        </w:rPr>
        <w:t>Mr Ellingworth signs nothing and promises nothing</w:t>
      </w:r>
      <w:r>
        <w:t>; he is simply to be informed of her promises in good time, which this letter also serves to document. His conscience is not bound by our law.</w:t>
      </w:r>
    </w:p>
    <w:p>
      <w:pPr>
        <w:pStyle w:val="ListBullet"/>
      </w:pPr>
      <w:r>
        <w:t>Both parties are instructed on the essential properties of marriage — unity and indissolubility (canons 1055, 1056) — which Anglican doctrine shares.</w:t>
      </w:r>
    </w:p>
    <w:p>
      <w:pPr>
        <w:pStyle w:val="Heading2"/>
      </w:pPr>
      <w:r>
        <w:rPr>
          <w:rFonts w:ascii="Times New Roman" w:hAnsi="Times New Roman"/>
        </w:rPr>
        <w:t>3. Form of the ceremony</w:t>
      </w:r>
    </w:p>
    <w:p>
      <w:pPr>
        <w:jc w:val="left"/>
      </w:pPr>
      <w:r>
        <w:t>The wedding will take place at Sancta Caecilia before the parish priest and two witnesses (canonical form, canon 1108). We warmly invite Canon Marchbanks to take part — readings, exhortation and blessing are very welcome; a joint celebration of the Eucharist is not possible, and we would in any case recommend a Liturgy of the Word, so that neither congregation is placed in an awkward position regarding Holy Communion (canon 844 § 4 makes eucharistic sharing an exception, not the rule).</w:t>
      </w:r>
    </w:p>
    <w:p>
      <w:pPr>
        <w:pStyle w:val="Heading2"/>
      </w:pPr>
      <w:r>
        <w:rPr>
          <w:rFonts w:ascii="Times New Roman" w:hAnsi="Times New Roman"/>
        </w:rPr>
        <w:t>4. One point we must clarify first</w:t>
      </w:r>
    </w:p>
    <w:p>
      <w:pPr>
        <w:jc w:val="left"/>
      </w:pPr>
      <w:r>
        <w:t xml:space="preserve">We understand Mr Ellingworth was civilly married from 2014 to 2017. Because Anglicans are not bound by the Catholic canonical form, that earlier marriage may well be </w:t>
      </w:r>
      <w:r>
        <w:rPr>
          <w:b/>
        </w:rPr>
        <w:t>valid in our law</w:t>
      </w:r>
      <w:r>
        <w:t xml:space="preserve"> if his former wife was baptised — in which case the impediment of the bond (canon 1085) would bar a new marriage until a Church tribunal has examined the first one. May we kindly ask for: the 2014 marriage certificate, the 2017 decree absolute, and any information on the former wife's baptism. We cannot fix a wedding date before this is resolved; please treat this as the most urgent item.</w:t>
      </w:r>
    </w:p>
    <w:p>
      <w:pPr>
        <w:pStyle w:val="Heading2"/>
      </w:pPr>
      <w:r>
        <w:rPr>
          <w:rFonts w:ascii="Times New Roman" w:hAnsi="Times New Roman"/>
        </w:rPr>
        <w:t>5. Documents requested from St Botolph's</w:t>
      </w:r>
    </w:p>
    <w:p>
      <w:pPr>
        <w:pStyle w:val="ListBullet"/>
      </w:pPr>
      <w:r>
        <w:t>Certificate of Mr Ellingworth's baptism (certified copy);</w:t>
      </w:r>
    </w:p>
    <w:p>
      <w:pPr>
        <w:pStyle w:val="ListBullet"/>
      </w:pPr>
      <w:r>
        <w:t>any record concerning the 2014 marriage held in your registers.</w:t>
      </w:r>
    </w:p>
    <w:p>
      <w:pPr>
        <w:jc w:val="left"/>
      </w:pPr>
      <w:r>
        <w:t>With every good wish, and in the hope of a celebration that honours both our traditions,</w:t>
      </w:r>
    </w:p>
    <w:p>
      <w:pPr>
        <w:jc w:val="left"/>
      </w:pPr>
      <w:r>
        <w:t>Dr Burkhard Tessenow</w:t>
      </w:r>
    </w:p>
    <w:p>
      <w:pPr>
        <w:jc w:val="left"/>
      </w:pPr>
      <w:r>
        <w:t>Parish Priest, Sancta Caecilia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