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Carta pastoral en español — para la comunidad hispanohablante de la parroquia</w:t>
      </w:r>
    </w:p>
    <w:p>
      <w:pPr>
        <w:jc w:val="left"/>
      </w:pPr>
      <w:r>
        <w:rPr>
          <w:b/>
        </w:rPr>
        <w:t>Parroquia Sancta Caecilia — carta del párroco a la comunidad de lengua española</w:t>
      </w:r>
    </w:p>
    <w:p>
      <w:pPr>
        <w:jc w:val="left"/>
      </w:pPr>
      <w:r>
        <w:t>Queridos hermanos y hermanas:</w:t>
      </w:r>
    </w:p>
    <w:p>
      <w:pPr>
        <w:jc w:val="left"/>
      </w:pPr>
      <w:r>
        <w:t>Algunos de ustedes me han preguntado, con ocasión del funeral de la señora Mechthild Rabenfels, cómo entiende la Iglesia la situación de quienes han declarado ante el Estado alemán su "salida de la Iglesia" (Kirchenaustritt) y desean, sin embargo, acercarse a los sacramentos. Quiero responder con claridad y con misericordia, porque ambas cosas van juntas.</w:t>
      </w:r>
    </w:p>
    <w:p>
      <w:pPr>
        <w:pStyle w:val="Heading2"/>
      </w:pPr>
      <w:r>
        <w:rPr>
          <w:rFonts w:ascii="Times New Roman" w:hAnsi="Times New Roman"/>
        </w:rPr>
        <w:t>El bautismo no se borra</w:t>
      </w:r>
    </w:p>
    <w:p>
      <w:pPr>
        <w:jc w:val="left"/>
      </w:pPr>
      <w:r>
        <w:t>El bautismo imprime carácter; nadie puede "desbautizarse" (canon 849). Quien fue bautizado sigue siendo hijo o hija de la Iglesia, también cuando una declaración civil lo separa de la comunidad visible. Por eso la Iglesia en Alemania no trata la declaración civil como una apostasía automática: muchas veces el motivo es el impuesto eclesiástico y no la fe.</w:t>
      </w:r>
    </w:p>
    <w:p>
      <w:pPr>
        <w:pStyle w:val="Heading2"/>
      </w:pPr>
      <w:r>
        <w:rPr>
          <w:rFonts w:ascii="Times New Roman" w:hAnsi="Times New Roman"/>
        </w:rPr>
        <w:t>Pero la declaración tiene peso</w:t>
      </w:r>
    </w:p>
    <w:p>
      <w:pPr>
        <w:jc w:val="left"/>
      </w:pPr>
      <w:r>
        <w:t>Al mismo tiempo, la declaración pública de salida es un acto serio: según el decreto de los obispos alemanes del año 2012, quien la hace no puede recibir los sacramentos —confesión, comunión, confirmación, unción— ni ejercer cargos en la Iglesia, hasta que se reconcilie. No es un castigo eterno: es una llamada a volver. El camino de regreso es sencillo y está siempre abierto: una conversación con el párroco, una declaración de retorno y, cuando el corazón lo pide, la confesión sacramental.</w:t>
      </w:r>
    </w:p>
    <w:p>
      <w:pPr>
        <w:pStyle w:val="Heading2"/>
      </w:pPr>
      <w:r>
        <w:rPr>
          <w:rFonts w:ascii="Times New Roman" w:hAnsi="Times New Roman"/>
        </w:rPr>
        <w:t>Lo que esto significa en la práctica</w:t>
      </w:r>
    </w:p>
    <w:p>
      <w:pPr>
        <w:pStyle w:val="ListBullet"/>
      </w:pPr>
      <w:r>
        <w:t>Si usted declaró la salida por motivos económicos y desea volver: venga a hablar conmigo. El camino se recorre en días, no en años.</w:t>
      </w:r>
    </w:p>
    <w:p>
      <w:pPr>
        <w:pStyle w:val="ListBullet"/>
      </w:pPr>
      <w:r>
        <w:t xml:space="preserve">Si un familiar suyo está en esta situación ante un funeral o una boda: busquemos la reconciliación </w:t>
      </w:r>
      <w:r>
        <w:rPr>
          <w:b/>
        </w:rPr>
        <w:t>antes</w:t>
      </w:r>
      <w:r>
        <w:t xml:space="preserve"> de la celebración, con discreción y sin avergonzar a nadie ante el altar.</w:t>
      </w:r>
    </w:p>
    <w:p>
      <w:pPr>
        <w:pStyle w:val="ListBullet"/>
      </w:pPr>
      <w:r>
        <w:t>Las ofrendas y donativos de personas que han salido civilmente de la Iglesia pueden aceptarse; la generosidad hacia la casa de Dios nunca se rechaza, y puede ser el primer paso del retorno.</w:t>
      </w:r>
    </w:p>
    <w:p>
      <w:pPr>
        <w:pStyle w:val="Heading2"/>
      </w:pPr>
      <w:r>
        <w:rPr>
          <w:rFonts w:ascii="Times New Roman" w:hAnsi="Times New Roman"/>
        </w:rPr>
        <w:t>Una palabra sobre el matrimonio</w:t>
      </w:r>
    </w:p>
    <w:p>
      <w:pPr>
        <w:jc w:val="left"/>
      </w:pPr>
      <w:r>
        <w:t xml:space="preserve">Para quienes preparan una boda con una persona bautizada en otra confesión cristiana (matrimonio mixto, canon 1124): la parte católica promete permanecer en la fe y hacer cuanto esté en su mano para que los hijos sean bautizados y educados católicamente; la otra parte </w:t>
      </w:r>
      <w:r>
        <w:rPr>
          <w:b/>
        </w:rPr>
        <w:t>no firma promesa alguna</w:t>
      </w:r>
      <w:r>
        <w:t xml:space="preserve"> — solo es informada. Nadie es obligado contra su conciencia.</w:t>
      </w:r>
    </w:p>
    <w:p>
      <w:pPr>
        <w:jc w:val="left"/>
      </w:pPr>
      <w:r>
        <w:t>Les bendigo de corazón, y les espero — a todos, también a los que se fueron.</w:t>
      </w:r>
    </w:p>
    <w:p>
      <w:pPr>
        <w:jc w:val="left"/>
      </w:pPr>
      <w:r>
        <w:t>Dr. Burkhard Tessenow, párroco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