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Lettera in italiano — all'Ufficio matrimoni della Curia (per conoscenza al parroco di origine)</w:t>
      </w:r>
    </w:p>
    <w:p>
      <w:pPr>
        <w:jc w:val="left"/>
      </w:pPr>
      <w:r>
        <w:rPr>
          <w:b/>
        </w:rPr>
        <w:t>Parrocchia Sancta Caecilia — al Rev.do Ufficio Matrimoni, e p.c. alla Parrocchia di San Callisto (parrocchia di origine della famiglia Rabenfels)</w:t>
      </w:r>
    </w:p>
    <w:p>
      <w:pPr>
        <w:jc w:val="left"/>
      </w:pPr>
      <w:r>
        <w:rPr>
          <w:b/>
        </w:rPr>
        <w:t>Oggetto: richiesta di orientamento — uscita civile dalla Chiesa, sacramenti, matrimonio misto e donazione vincolata (famiglia von Rabenfels)</w:t>
      </w:r>
    </w:p>
    <w:p>
      <w:pPr>
        <w:jc w:val="left"/>
      </w:pPr>
      <w:r>
        <w:t>Reverendi Confratelli,</w:t>
      </w:r>
    </w:p>
    <w:p>
      <w:pPr>
        <w:jc w:val="left"/>
      </w:pPr>
      <w:r>
        <w:t>la parrocchia chiede un orientamento prudente e conforme al diritto canonico su quattro questioni collegate, sorte in occasione delle esequie della signora Mechthild Rabenfels.</w:t>
      </w:r>
    </w:p>
    <w:p>
      <w:pPr>
        <w:pStyle w:val="Heading2"/>
      </w:pPr>
      <w:r>
        <w:rPr>
          <w:rFonts w:ascii="Times New Roman" w:hAnsi="Times New Roman"/>
        </w:rPr>
        <w:t>1. Uscita civile e ritorno</w:t>
      </w:r>
    </w:p>
    <w:p>
      <w:pPr>
        <w:jc w:val="left"/>
      </w:pPr>
      <w:r>
        <w:t xml:space="preserve">La figlia della defunta, sig.ra Adelgund von Rabenfels, ha dichiarato nel 2019 davanti all'autorità civile tedesca l'uscita dalla Chiesa (il cosiddetto </w:t>
      </w:r>
      <w:r>
        <w:rPr>
          <w:i/>
        </w:rPr>
        <w:t>Kirchenaustritt</w:t>
      </w:r>
      <w:r>
        <w:t>, istituto legato all'imposta ecclesiastica). Secondo il decreto generale della Conferenza Episcopale Tedesca del 20.09.2012, tale dichiarazione comporta l'esclusione dai sacramenti e dagli uffici ecclesiali, senza costituire automaticamente apostasia (cann. 751, 1364 CIC). Il battesimo rimane indelebile (can. 849). La signora desidera riconciliarsi e ricevere la comunione alle esequie della madre: chiediamo conferma della prassi diocesana per la riammissione (dichiarazione, colloquio, eventuale confessione con facoltà riservata).</w:t>
      </w:r>
    </w:p>
    <w:p>
      <w:pPr>
        <w:pStyle w:val="Heading2"/>
      </w:pPr>
      <w:r>
        <w:rPr>
          <w:rFonts w:ascii="Times New Roman" w:hAnsi="Times New Roman"/>
        </w:rPr>
        <w:t>2. Matrimonio misto</w:t>
      </w:r>
    </w:p>
    <w:p>
      <w:pPr>
        <w:jc w:val="left"/>
      </w:pPr>
      <w:r>
        <w:t xml:space="preserve">La nipote della defunta intende sposare un battezzato anglicano: si tratta di matrimonio misto (can. 1124), per cui chiederemo la licenza secondo il can. 1125 — con le promesse della sola parte cattolica. Segnaliamo una possibile questione di </w:t>
      </w:r>
      <w:r>
        <w:rPr>
          <w:b/>
        </w:rPr>
        <w:t>ligamen</w:t>
      </w:r>
      <w:r>
        <w:t xml:space="preserve"> (can. 1085): il fidanzato ha contratto nel 2014 un matrimonio civile, sciolto nel 2017; se la precedente moglie era battezzata, quel vincolo potrebbe essere canonicamente valido, non essendo gli anglicani tenuti alla forma canonica. Prima di fissare la data, raccoglieremo i documenti e, se necessario, rimetteremo la questione al Tribunale ecclesiastico.</w:t>
      </w:r>
    </w:p>
    <w:p>
      <w:pPr>
        <w:pStyle w:val="Heading2"/>
      </w:pPr>
      <w:r>
        <w:rPr>
          <w:rFonts w:ascii="Times New Roman" w:hAnsi="Times New Roman"/>
        </w:rPr>
        <w:t>3. Donazione vincolata</w:t>
      </w:r>
    </w:p>
    <w:p>
      <w:pPr>
        <w:jc w:val="left"/>
      </w:pPr>
      <w:r>
        <w:t>La famiglia offre 180.000 EUR per il restauro dell'organo storico, con targa commemorativa, una Messa annuale di suffragio e un diritto di consultazione nella scelta dell'organaro. Applichiamo i cann. 1267 § 2, 1300, 1303 ss. CIC: accettazione con licenza dell'Ordinario, durata limitata della pia fondazione, consultazione sì, veto no.</w:t>
      </w:r>
    </w:p>
    <w:p>
      <w:pPr>
        <w:pStyle w:val="Heading2"/>
      </w:pPr>
      <w:r>
        <w:rPr>
          <w:rFonts w:ascii="Times New Roman" w:hAnsi="Times New Roman"/>
        </w:rPr>
        <w:t>4. Richiesta</w:t>
      </w:r>
    </w:p>
    <w:p>
      <w:pPr>
        <w:jc w:val="left"/>
      </w:pPr>
      <w:r>
        <w:t>Vi saremmo grati per una risposta entro cinque giorni lavorativi quanto al punto 1 (le esequie sono fissate fra undici giorni); per i punti 2 e 3 seguiranno le pratiche ordinarie.</w:t>
      </w:r>
    </w:p>
    <w:p>
      <w:pPr>
        <w:jc w:val="left"/>
      </w:pPr>
      <w:r>
        <w:t>Con fraterni saluti in Cristo,</w:t>
      </w:r>
    </w:p>
    <w:p>
      <w:pPr>
        <w:jc w:val="left"/>
      </w:pPr>
      <w:r>
        <w:t>Dr. Burkhard Tessenow, parroco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