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Nota Latina — de statu canonico personae quae actu civili ab Ecclesia discessit</w:t>
      </w:r>
    </w:p>
    <w:p>
      <w:pPr>
        <w:jc w:val="left"/>
      </w:pPr>
      <w:r>
        <w:rPr>
          <w:b/>
        </w:rPr>
        <w:t>Quaestio:</w:t>
      </w:r>
      <w:r>
        <w:t xml:space="preserve"> Quid valet declaratio civilis discessionis ab Ecclesia ("Kirchenaustritt") in foro canonico?</w:t>
      </w:r>
    </w:p>
    <w:p>
      <w:pPr>
        <w:pStyle w:val="Heading2"/>
      </w:pPr>
      <w:r>
        <w:rPr>
          <w:rFonts w:ascii="Times New Roman" w:hAnsi="Times New Roman"/>
        </w:rPr>
        <w:t>I. Principia</w:t>
      </w:r>
    </w:p>
    <w:p>
      <w:pPr>
        <w:pStyle w:val="ListNumber"/>
      </w:pPr>
      <w:r>
        <w:rPr>
          <w:b/>
        </w:rPr>
        <w:t>Status baptismalis permanet.</w:t>
      </w:r>
      <w:r>
        <w:t xml:space="preserve"> Baptismus characterem indelebilem imprimit (can. 849 CIC); nemo umquam "debaptizari" potest. Persona baptizata in Ecclesia Christi manet eique iuribus et officiis obligatur (can. 96, can. 11 CIC).</w:t>
      </w:r>
    </w:p>
    <w:p>
      <w:pPr>
        <w:pStyle w:val="ListNumber"/>
      </w:pPr>
      <w:r>
        <w:rPr>
          <w:b/>
        </w:rPr>
        <w:t>Declaratio civilis tamen signum publicum est.</w:t>
      </w:r>
      <w:r>
        <w:t xml:space="preserve"> Declaratio coram auctoritate civili facta, qua quis ab Ecclesia discedere profitetur, signum publicum separationis a communione ecclesiastica esse potest et effectus pastorales atque canonicos habet. Secundum Decretum Generale Conferentiae Episcoporum Germaniae diei 20 Septembris 2012, qui ita discessit a sacramentis recipiendis, ab officiis ecclesiasticis gerendis et a muneribus exercendis excluditur, donec reconcilietur.</w:t>
      </w:r>
    </w:p>
    <w:p>
      <w:pPr>
        <w:pStyle w:val="ListNumber"/>
      </w:pPr>
      <w:r>
        <w:rPr>
          <w:b/>
        </w:rPr>
        <w:t>Non tamen ipso facto apostasia.</w:t>
      </w:r>
      <w:r>
        <w:t xml:space="preserve"> Discessio civilis non est eo ipso apostasia, haeresis vel schisma (cann. 751, 1364 CIC); motiva enim saepe oeconomica sunt (tributum ecclesiasticum), non fidei abdicatio. Ideo poena latae sententiae non praesumitur, sed singula adiuncta perpendenda sunt.</w:t>
      </w:r>
    </w:p>
    <w:p>
      <w:pPr>
        <w:pStyle w:val="Heading2"/>
      </w:pPr>
      <w:r>
        <w:rPr>
          <w:rFonts w:ascii="Times New Roman" w:hAnsi="Times New Roman"/>
        </w:rPr>
        <w:t>II. Applicatio ad casum</w:t>
      </w:r>
    </w:p>
    <w:p>
      <w:pPr>
        <w:jc w:val="left"/>
      </w:pPr>
      <w:r>
        <w:t>Domina Adelgund, anno 2019 civiliter egressa, fidem se servasse asserit et reconciliationem petit ante exsequias matris. Via reditus: colloquium cum parocho, declaratio reditus secundum ordinationem dioecesanam, et — ubi conscientia postulat — confessio sacramentalis (attenta facultate absolvendi, quae Ordinario reservari potest).</w:t>
      </w:r>
    </w:p>
    <w:p>
      <w:pPr>
        <w:pStyle w:val="Heading2"/>
      </w:pPr>
      <w:r>
        <w:rPr>
          <w:rFonts w:ascii="Times New Roman" w:hAnsi="Times New Roman"/>
        </w:rPr>
        <w:t>III. Conclusio</w:t>
      </w:r>
    </w:p>
    <w:p>
      <w:pPr>
        <w:jc w:val="left"/>
      </w:pPr>
      <w:r>
        <w:t>Misericordia et veritas obviaverunt sibi (Ps 84,11): nec baptisma negandum quasi evanuerit, nec discessio extenuanda quasi nihil esset. Porta reditus semper patet.</w:t>
      </w:r>
    </w:p>
    <w:p>
      <w:pPr>
        <w:jc w:val="left"/>
      </w:pPr>
      <w:r>
        <w:rPr>
          <w:i/>
        </w:rPr>
        <w:t>Parochus Sanctae Caeciliae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