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Nota arabica — مذكّرة بالعربية لعائلات الرعيّة الناطقة بالعربية</w:t>
      </w:r>
    </w:p>
    <w:p>
      <w:pPr>
        <w:jc w:val="left"/>
      </w:pPr>
      <w:r>
        <w:rPr>
          <w:b/>
        </w:rPr>
        <w:t>رعيّة القدّيسة سيسيليا — مذكّرة راعويّة موجزة</w:t>
      </w:r>
    </w:p>
    <w:p>
      <w:pPr>
        <w:jc w:val="left"/>
      </w:pPr>
      <w:r>
        <w:t>أيّها الإخوة والأخوات الأحبّاء،</w:t>
      </w:r>
    </w:p>
    <w:p>
      <w:pPr>
        <w:jc w:val="left"/>
      </w:pPr>
      <w:r>
        <w:t>سألنا بعضُكم، بمناسبة جنازة السيّدة مشتهيلد رابنفلس، عن وضع مَن أعلن أمام الدولة الألمانيّة "الخروجَ من الكنيسة" (Kirchenaustritt) ثمّ رغب في الاقتراب من الأسرار المقدّسة. وهذا جوابنا باختصار وبمحبّة:</w:t>
      </w:r>
    </w:p>
    <w:p>
      <w:pPr>
        <w:pStyle w:val="Heading2"/>
      </w:pPr>
      <w:r>
        <w:rPr>
          <w:rFonts w:ascii="Times New Roman" w:hAnsi="Times New Roman"/>
        </w:rPr>
        <w:t>المعموديّة لا تُمحى</w:t>
      </w:r>
    </w:p>
    <w:p>
      <w:pPr>
        <w:jc w:val="left"/>
      </w:pPr>
      <w:r>
        <w:t>مَن اعتمد يبقى ابناً أو ابنةً للكنيسة إلى الأبد؛ فالمعموديّة تطبع في النفس طابعاً لا يُمحى (قانون 849 من مجموعة القانون الكنسيّ). لا وجود لِما يُسمّى "إلغاء المعموديّة".</w:t>
      </w:r>
    </w:p>
    <w:p>
      <w:pPr>
        <w:pStyle w:val="Heading2"/>
      </w:pPr>
      <w:r>
        <w:rPr>
          <w:rFonts w:ascii="Times New Roman" w:hAnsi="Times New Roman"/>
        </w:rPr>
        <w:t>لكنّ الإعلان المدنيّ أمرٌ جدّيّ</w:t>
      </w:r>
    </w:p>
    <w:p>
      <w:pPr>
        <w:jc w:val="left"/>
      </w:pPr>
      <w:r>
        <w:t>بحسب قرار أساقفة ألمانيا الصادر في 20 أيلول/سبتمبر 2012، مَن أعلن خروجه مدنيّاً لا يتقدّم إلى الأسرار — الاعتراف والمناولة والتثبيت ومسحة المرضى — ولا يتولّى خدمةً كنسيّةً، إلى أن يتصالح مع الكنيسة. وكثيراً ما يكون سببُ الخروج ضريبةَ الكنيسة لا جحودَ الإيمان؛ لذلك لا تُعَدّ هذه الخطوة ارتداداً تلقائيّاً.</w:t>
      </w:r>
    </w:p>
    <w:p>
      <w:pPr>
        <w:pStyle w:val="Heading2"/>
      </w:pPr>
      <w:r>
        <w:rPr>
          <w:rFonts w:ascii="Times New Roman" w:hAnsi="Times New Roman"/>
        </w:rPr>
        <w:t>طريق العودة قصير ومفتوح</w:t>
      </w:r>
    </w:p>
    <w:p>
      <w:pPr>
        <w:jc w:val="left"/>
      </w:pPr>
      <w:r>
        <w:t>مَن أراد الرجوع: فليأتِ إلى الخوريّ لحديثٍ هادئ، ثمّ يوقّع تصريحَ العودة بحسب نظام الأبرشيّة، ويتقدّم — إن طلب قلبُه — إلى سرّ الاعتراف. الطريق يُقطَع في أيّامٍ لا في سنوات. وقبل جنازةٍ أو عرسٍ نسوّي الأمر بهدوء وكتمان، حتّى لا يُحرَج أحدٌ أمام المذبح.</w:t>
      </w:r>
    </w:p>
    <w:p>
      <w:pPr>
        <w:pStyle w:val="Heading2"/>
      </w:pPr>
      <w:r>
        <w:rPr>
          <w:rFonts w:ascii="Times New Roman" w:hAnsi="Times New Roman"/>
        </w:rPr>
        <w:t>كلمة في الزواج المختلط</w:t>
      </w:r>
    </w:p>
    <w:p>
      <w:pPr>
        <w:jc w:val="left"/>
      </w:pPr>
      <w:r>
        <w:t xml:space="preserve">مَن خطب مسيحيّةً أو مسيحيّاً من كنيسةٍ أخرى (زواج مختلط، قانون 1124): الطرف الكاثوليكيّ وحده يَعِد بالبقاء في الإيمان وبالسعي إلى معموديّة الأولاد وتربيتهم كاثوليكيّاً؛ والطرف الآخر </w:t>
      </w:r>
      <w:r>
        <w:rPr>
          <w:b/>
        </w:rPr>
        <w:t>لا يوقّع وعداً</w:t>
      </w:r>
      <w:r>
        <w:t xml:space="preserve"> — إنّما يُعلَم بذلك فقط. لا إكراه على ضمير أحد.</w:t>
      </w:r>
    </w:p>
    <w:p>
      <w:pPr>
        <w:jc w:val="left"/>
      </w:pPr>
      <w:r>
        <w:t>وعطايا مَن خرج مدنيّاً تُقبَل بشكر؛ فالسخاء نحو بيت الله قد يكون أولى خطوات العودة.</w:t>
      </w:r>
    </w:p>
    <w:p>
      <w:pPr>
        <w:jc w:val="left"/>
      </w:pPr>
      <w:r>
        <w:t>بالمحبّة والبركة،</w:t>
      </w:r>
    </w:p>
    <w:p>
      <w:pPr>
        <w:jc w:val="left"/>
      </w:pPr>
      <w:r>
        <w:t>الخوري د. بوركهارد تسّينو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