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Nota em português — para as famílias lusófonas da paróquia</w:t>
      </w:r>
    </w:p>
    <w:p>
      <w:pPr>
        <w:jc w:val="left"/>
      </w:pPr>
      <w:r>
        <w:rPr>
          <w:b/>
        </w:rPr>
        <w:t>Paróquia Sancta Caecilia — nota pastoral do pároco</w:t>
      </w:r>
    </w:p>
    <w:p>
      <w:pPr>
        <w:jc w:val="left"/>
      </w:pPr>
      <w:r>
        <w:t>Caros irmãos e irmãs,</w:t>
      </w:r>
    </w:p>
    <w:p>
      <w:pPr>
        <w:jc w:val="left"/>
      </w:pPr>
      <w:r>
        <w:t>por ocasião do funeral da senhora Mechthild Rabenfels, alguns de vós perguntaram como a Igreja entende a situação de quem declarou perante o Estado alemão a "saída da Igreja" (Kirchenaustritt) e deseja, ainda assim, aproximar-se dos sacramentos. Respondo com clareza e misericórdia — as duas andam juntas.</w:t>
      </w:r>
    </w:p>
    <w:p>
      <w:pPr>
        <w:pStyle w:val="Heading2"/>
      </w:pPr>
      <w:r>
        <w:rPr>
          <w:rFonts w:ascii="Times New Roman" w:hAnsi="Times New Roman"/>
        </w:rPr>
        <w:t>O batismo não se apaga</w:t>
      </w:r>
    </w:p>
    <w:p>
      <w:pPr>
        <w:jc w:val="left"/>
      </w:pPr>
      <w:r>
        <w:t>O batismo imprime caráter indelével (cânon 849); ninguém pode ser "desbatizado". Quem foi batizado permanece filho ou filha da Igreja, mesmo quando uma declaração civil o separa da comunidade visível.</w:t>
      </w:r>
    </w:p>
    <w:p>
      <w:pPr>
        <w:pStyle w:val="Heading2"/>
      </w:pPr>
      <w:r>
        <w:rPr>
          <w:rFonts w:ascii="Times New Roman" w:hAnsi="Times New Roman"/>
        </w:rPr>
        <w:t>Mas a declaração tem peso</w:t>
      </w:r>
    </w:p>
    <w:p>
      <w:pPr>
        <w:jc w:val="left"/>
      </w:pPr>
      <w:r>
        <w:t>Segundo o decreto dos bispos alemães de 20 de setembro de 2012, quem declara civilmente a saída fica afastado dos sacramentos — confissão, comunhão, crisma, unção — e dos cargos eclesiais, até se reconciliar. Não é condenação: é um chamado ao regresso. Muitas vezes o motivo é o imposto eclesiástico, não a perda da fé; por isso a declaração não é tratada automaticamente como apostasia.</w:t>
      </w:r>
    </w:p>
    <w:p>
      <w:pPr>
        <w:pStyle w:val="Heading2"/>
      </w:pPr>
      <w:r>
        <w:rPr>
          <w:rFonts w:ascii="Times New Roman" w:hAnsi="Times New Roman"/>
        </w:rPr>
        <w:t>O caminho de volta é curto</w:t>
      </w:r>
    </w:p>
    <w:p>
      <w:pPr>
        <w:jc w:val="left"/>
      </w:pPr>
      <w:r>
        <w:t>Uma conversa com o pároco, uma declaração de regresso conforme a norma diocesana e, quando o coração o pede, a confissão sacramental. Antes de um funeral ou casamento, resolvemos tudo com discrição — ninguém é envergonhado diante do altar.</w:t>
      </w:r>
    </w:p>
    <w:p>
      <w:pPr>
        <w:pStyle w:val="Heading2"/>
      </w:pPr>
      <w:r>
        <w:rPr>
          <w:rFonts w:ascii="Times New Roman" w:hAnsi="Times New Roman"/>
        </w:rPr>
        <w:t>Sobre o matrimónio misto</w:t>
      </w:r>
    </w:p>
    <w:p>
      <w:pPr>
        <w:jc w:val="left"/>
      </w:pPr>
      <w:r>
        <w:t xml:space="preserve">Quem se prepara para casar com pessoa batizada noutra confissão cristã (matrimónio misto, cânon 1124): só a parte católica promete permanecer na fé e fazer o que estiver ao seu alcance para que os filhos sejam batizados e educados catolicamente; a outra parte </w:t>
      </w:r>
      <w:r>
        <w:rPr>
          <w:b/>
        </w:rPr>
        <w:t>não assina promessa alguma</w:t>
      </w:r>
      <w:r>
        <w:t xml:space="preserve"> — é apenas informada. A consciência de ninguém é forçada.</w:t>
      </w:r>
    </w:p>
    <w:p>
      <w:pPr>
        <w:jc w:val="left"/>
      </w:pPr>
      <w:r>
        <w:t>As ofertas de quem saiu civilmente da Igreja podem ser aceites com gratidão — a generosidade para com a casa de Deus pode ser o primeiro passo do regresso.</w:t>
      </w:r>
    </w:p>
    <w:p>
      <w:pPr>
        <w:jc w:val="left"/>
      </w:pPr>
      <w:r>
        <w:t>Com a minha bênção,</w:t>
      </w:r>
    </w:p>
    <w:p>
      <w:pPr>
        <w:jc w:val="left"/>
      </w:pPr>
      <w:r>
        <w:t>Pe. Dr. Burkhard Tessenow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