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Kommunalrecht der Länder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