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Langgutachten und Sachentscheidung</w:t>
      </w:r>
    </w:p>
    <w:p>
      <w:pPr>
        <w:pStyle w:val="Heading2"/>
      </w:pPr>
      <w:r>
        <w:rPr>
          <w:rFonts w:ascii="Times New Roman" w:hAnsi="Times New Roman"/>
        </w:rPr>
        <w:t>Prüfauftrag</w:t>
      </w:r>
    </w:p>
    <w:p>
      <w:pPr>
        <w:jc w:val="left"/>
      </w:pPr>
      <w:r>
        <w:t>In der Akte Kommunalrecht Morgenfurt soll nicht nur ein Schlagwort geprüft werden. Zu klären ist, welche Anspruchs-, Befugnis-, Verfahrens- und Nachweisfragen aus Gemeindeordnung, Kommunalwahlrecht, Bürgerbegehren, Haushaltsrecht, Kommunalaufsicht, Ausschluss wegen Befangenheit und Öffentlichkeit der Sitzung wirklich entscheidungserheblich sind. Die Bearbeitung soll die vorhandenen Aktenstücke nicht zusammenfassen, sondern eine arbeitsfähige Entscheidungsgrundlage herstellen.</w:t>
      </w:r>
    </w:p>
    <w:p>
      <w:pPr>
        <w:pStyle w:val="Heading2"/>
      </w:pPr>
      <w:r>
        <w:rPr>
          <w:rFonts w:ascii="Times New Roman" w:hAnsi="Times New Roman"/>
        </w:rPr>
        <w:t>Sachverhaltskern</w:t>
      </w:r>
    </w:p>
    <w:p>
      <w:pPr>
        <w:jc w:val="left"/>
      </w:pPr>
      <w:r>
        <w:t>Der Fall ist durch Bürgerentscheid, Rathausumbau, Haushaltsloch, Ratsmehrheit, Bürgerinitiative und Kommunalaufsicht geprägt. Auffällig ist, dass mehrere Beteiligte jeweils nur den für sie günstigen Ausschnitt schildern. Die Behörde beziehungsweise Gegenseite arbeitet mit knappen Fristen und formelhaften Hinweisen. Die Mandantenseite verfügt über Unterlagen, die zwar plausibel wirken, aber noch nicht in einer beweissicheren Reihenfolge liegen.</w:t>
      </w:r>
    </w:p>
    <w:p>
      <w:pPr>
        <w:pStyle w:val="Heading2"/>
      </w:pPr>
      <w:r>
        <w:rPr>
          <w:rFonts w:ascii="Times New Roman" w:hAnsi="Times New Roman"/>
        </w:rPr>
        <w:t>Rechtlicher Ausgangspunkt</w:t>
      </w:r>
    </w:p>
    <w:p>
      <w:pPr>
        <w:jc w:val="left"/>
      </w:pPr>
      <w:r>
        <w:t>Ausgangspunkt ist nicht die politische oder wirtschaftliche Plausibilität, sondern die Zuständigkeit, die richtige Verfahrensart, die einschlägige Ermächtigungs- oder Anspruchsgrundlage und die Nachweisbarkeit. Die Normen aus Gemeindeordnung, Kommunalwahlrecht, Bürgerbegehren, Haushaltsrecht, Kommunalaufsicht, Ausschluss wegen Befangenheit und Öffentlichkeit der Sitzung sind deshalb als Prüfprogramm zu behandeln: Wer darf handeln, welche Form ist einzuhalten, welche Frist läuft, welche Beteiligten müssen gehört werden, welche Tatsachen sind beweisbedürftig und welche Rechtsfolge kann überhaupt erreicht werden?</w:t>
      </w:r>
    </w:p>
    <w:p>
      <w:pPr>
        <w:pStyle w:val="Heading2"/>
      </w:pPr>
      <w:r>
        <w:rPr>
          <w:rFonts w:ascii="Times New Roman" w:hAnsi="Times New Roman"/>
        </w:rPr>
        <w:t>Risikopunkte</w:t>
      </w:r>
    </w:p>
    <w:p>
      <w:pPr>
        <w:jc w:val="left"/>
      </w:pPr>
      <w:r>
        <w:t>Erstens ist zu vermeiden, dass die Akte auf eine scheinbar naheliegende Schiene verengt wird. Zweitens müssen Fristen und Zuständigkeiten so behandelt werden, dass ein späterer Rechtsbehelf nicht an einer falschen Adressierung scheitert. Drittens müssen Tatsachen, die momentan nur behauptet sind, in Belege übersetzt werden: Bescheid, Vertrag, Registerauszug, Kostenblatt, Planunterlage, Protokoll, Foto, Screenshot, Zustellnachweis oder Gutachten.</w:t>
      </w:r>
    </w:p>
    <w:p>
      <w:pPr>
        <w:pStyle w:val="Heading2"/>
      </w:pPr>
      <w:r>
        <w:rPr>
          <w:rFonts w:ascii="Times New Roman" w:hAnsi="Times New Roman"/>
        </w:rPr>
        <w:t>Vorläufige Bewertung</w:t>
      </w:r>
    </w:p>
    <w:p>
      <w:pPr>
        <w:jc w:val="left"/>
      </w:pPr>
      <w:r>
        <w:t>Nach derzeitigem Stand ist eine aktive Reaktion angezeigt. Ein bloßes Abwarten würde die Verhandlungsposition verschlechtern. Es sollte zunächst ein präzises Nachforderungsschreiben versandt werden, das die Behörde oder Gegenseite zwingt, die tatsächliche und rechtliche Grundlage ihrer Position offenzulegen. Parallel muss eine gerichtsfeste Chronologie erstellt werden. Die Akte sollte nicht mit Wertungen beginnen, sondern mit belastbaren Dokumenten.</w:t>
      </w:r>
    </w:p>
    <w:p>
      <w:pPr>
        <w:pStyle w:val="Heading2"/>
      </w:pPr>
      <w:r>
        <w:rPr>
          <w:rFonts w:ascii="Times New Roman" w:hAnsi="Times New Roman"/>
        </w:rPr>
        <w:t>Arbeitsanweisung</w:t>
      </w:r>
    </w:p>
    <w:p>
      <w:pPr>
        <w:jc w:val="left"/>
      </w:pPr>
      <w:r>
        <w:t>Die nächsten Schritte sind: vollständige Dokumentenliste erstellen, fehlende Originale anfordern, Fristenkalender mit Eskalationsstufen führen, Rechtsgrundlagen gegenprüfen, Entwurf für außergerichtliche Stellungnahme erstellen und für den Fall der Ablehnung bereits den Rechtsbehelf vorbereiten. Jede rechtliche Aussage ist mit Norm, Fundstelle im Aktenstück und Unsicherheitsgrad zu versehen.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