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Bürgerentscheid, Rathausumbau, Haushaltsloch, Ratsmehrheit, Bürgerinitiative und Kommunalaufsicht. Für eine sachgerechte Prüfung benötigen wir keine pauschale Bewertung, sondern eine nachvollziehbare Zuordnung zu Gemeindeordnung, Kommunalwahlrecht, Bürgerbegehren, Haushaltsrecht, Kommunalaufsicht, Ausschluss wegen Befangenheit und Öffentlichkeit der Sitzung.</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