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Kommunalrecht Morgenfurt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Gemeindeordnung, Kommunalwahlrecht, Bürgerbegehren, Haushaltsrecht, Kommunalaufsicht, Ausschluss wegen Befangenheit und Öffentlichkeit der Sitzung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