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offene Punkte</w:t>
      </w:r>
    </w:p>
    <w:p>
      <w:pPr>
        <w:pStyle w:val="Heading2"/>
      </w:pPr>
      <w:r>
        <w:rPr>
          <w:rFonts w:ascii="Times New Roman" w:hAnsi="Times New Roman"/>
        </w:rPr>
        <w:t>Punkt 1</w:t>
      </w:r>
    </w:p>
    <w:p>
      <w:pPr>
        <w:jc w:val="left"/>
      </w:pPr>
      <w:r>
        <w:t>Eine gesetzlich Versicherte erhält Ablehnung für einen Aktivrollstuhl; der MD-Bericht widerspricht zwei Arztbriefen.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2</w:t>
      </w:r>
    </w:p>
    <w:p>
      <w:pPr>
        <w:jc w:val="left"/>
      </w:pPr>
      <w:r>
        <w:t>Der Arbeitgeber meldet Ende der Entgeltfortzahlung, aber die Krankenkasse setzt Krankengeld zu spät und zu niedrig fest.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3</w:t>
      </w:r>
    </w:p>
    <w:p>
      <w:pPr>
        <w:jc w:val="left"/>
      </w:pPr>
      <w:r>
        <w:t>Ein pensionierter Lehrer streitet parallel mit PKV und Beihilfe über eine teure Krebsdiagnostik.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4</w:t>
      </w:r>
    </w:p>
    <w:p>
      <w:pPr>
        <w:jc w:val="left"/>
      </w:pPr>
      <w:r>
        <w:t>Ein Selbstständiger schuldet Beiträge und versteht nicht, welche Leistungen ruhen.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5</w:t>
      </w:r>
    </w:p>
    <w:p>
      <w:pPr>
        <w:jc w:val="left"/>
      </w:pPr>
      <w:r>
        <w:t>Die Familie will die Kasse wechseln, übersieht aber Bindungsfrist und Wahltarif.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6</w:t>
      </w:r>
    </w:p>
    <w:p>
      <w:pPr>
        <w:jc w:val="left"/>
      </w:pPr>
      <w:r>
        <w:t>Im Ausland wurde eine Notfallbehandlung bezahlt; die Erstattung bleibt unklar.</w:t>
      </w:r>
    </w:p>
    <w:p>
      <w:pPr>
        <w:jc w:val="left"/>
      </w:pPr>
      <w:r>
        <w:t>Prüffrage: Welche Unterlage belegt das, welche Rechtsfolge hängt daran und welche Frist läuft?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