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Eilverfahren Off-Label-Use</w:t>
      </w:r>
    </w:p>
    <w:p>
      <w:pPr>
        <w:pStyle w:val="Heading2"/>
      </w:pPr>
      <w:r>
        <w:rPr>
          <w:rFonts w:ascii="Times New Roman" w:hAnsi="Times New Roman"/>
        </w:rPr>
        <w:t>1. Mandantin</w:t>
      </w:r>
    </w:p>
    <w:p>
      <w:pPr>
        <w:jc w:val="left"/>
      </w:pPr>
      <w:r>
        <w:t>Mandantin ist Leyla Tunc, geboren am 16.11.1991, Grundschullehrerin aus Mainz. Diagnose: progrediente Autoimmun-Enzephalomyelitis mit seltenem Antikörperprofil, Schübe seit 2024, deutliche Gang- und Sehstörungen, kognitive Erschöpfung. Krankenkasse: RheinMain BKK.</w:t>
      </w:r>
    </w:p>
    <w:p>
      <w:pPr>
        <w:pStyle w:val="Heading2"/>
      </w:pPr>
      <w:r>
        <w:rPr>
          <w:rFonts w:ascii="Times New Roman" w:hAnsi="Times New Roman"/>
        </w:rPr>
        <w:t>2. Beantragte Behandlung</w:t>
      </w:r>
    </w:p>
    <w:p>
      <w:pPr>
        <w:jc w:val="left"/>
      </w:pPr>
      <w:r>
        <w:t>Universitätsmedizin Mainz beantragt Neravexor, ein monoklonales Antikörperpräparat, zugelassen für eine andere seltene neuroimmunologische Indikation. Für Leylas Erkrankung besteht keine deutsche Zulassung. Klinik schlägt zwei Dosen im Abstand von acht Wochen vor. Kosten laut Klinikapotheke: 480.000 EUR je Dosis einschließlich Zubereitung und stationärer Überwachung.</w:t>
      </w:r>
    </w:p>
    <w:p>
      <w:pPr>
        <w:pStyle w:val="Heading2"/>
      </w:pPr>
      <w:r>
        <w:rPr>
          <w:rFonts w:ascii="Times New Roman" w:hAnsi="Times New Roman"/>
        </w:rPr>
        <w:t>3. Verfahren</w:t>
      </w:r>
    </w:p>
    <w:p>
      <w:pPr>
        <w:jc w:val="left"/>
      </w:pPr>
      <w:r>
        <w:t>Antrag der Klinik 07.06.2026. MD-Gutachten 20.06.2026. Ablehnungsbescheid 24.06.2026, Zugang 26.06.2026. Geplanter stationärer Slot 18.07.2026. Widerspruch und Eilantrag müssen parallel vorbereitet werden.</w:t>
      </w:r>
    </w:p>
    <w:p>
      <w:pPr>
        <w:pStyle w:val="Heading2"/>
      </w:pPr>
      <w:r>
        <w:rPr>
          <w:rFonts w:ascii="Times New Roman" w:hAnsi="Times New Roman"/>
        </w:rPr>
        <w:t>4. Rentenberaterliche Perspektive</w:t>
      </w:r>
    </w:p>
    <w:p>
      <w:pPr>
        <w:jc w:val="left"/>
      </w:pPr>
      <w:r>
        <w:t>Kurzfristig Krankenversicherungsanspruch und Eilrechtsschutz. Parallel: Krankengeld, Reha, mögliche Erwerbsminderung, Schwerbehindertenverfahren und dienstrechtliche Fragen nur koordinierend. Die Akte darf medizinische Hoffnung nicht mit rechtlicher Erfolgsaussicht verwechseln; die drei Off-Label-Kriterien müssen materialgestützt abgearbeitet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