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Klinikantrag Universitätsmedizin Mainz</w:t>
      </w:r>
    </w:p>
    <w:p>
      <w:pPr>
        <w:pStyle w:val="Heading2"/>
      </w:pPr>
      <w:r>
        <w:rPr>
          <w:rFonts w:ascii="Times New Roman" w:hAnsi="Times New Roman"/>
        </w:rPr>
        <w:t>1. Medizinischer Stand</w:t>
      </w:r>
    </w:p>
    <w:p>
      <w:pPr>
        <w:jc w:val="left"/>
      </w:pPr>
      <w:r>
        <w:t>Die Patientin leidet an einer rasch progredienten Autoimmun-Enzephalomyelitis mit seltenem Antikörperprofil. Standardtherapien mit hochdosierten Steroiden, Plasmapherese, Rituximab und Cyclophosphamid führten nur zu vorübergehender Stabilisierung. Seit Mai 2026 neue Herde im MRT und Verschlechterung der Gehstrecke auf unter 200 Meter.</w:t>
      </w:r>
    </w:p>
    <w:p>
      <w:pPr>
        <w:pStyle w:val="Heading2"/>
      </w:pPr>
      <w:r>
        <w:rPr>
          <w:rFonts w:ascii="Times New Roman" w:hAnsi="Times New Roman"/>
        </w:rPr>
        <w:t>2. Behandlungsziel</w:t>
      </w:r>
    </w:p>
    <w:p>
      <w:pPr>
        <w:jc w:val="left"/>
      </w:pPr>
      <w:r>
        <w:t>Neravexor soll die Krankheitsprogression stoppen oder verlangsamen, Schubaktivität senken und den Verlust selbständiger Gehfähigkeit verhindern. Eine Heilung wird nicht versprochen. Die Klinik hält eine palliative und stabilisierende Wirkung für realistisch.</w:t>
      </w:r>
    </w:p>
    <w:p>
      <w:pPr>
        <w:pStyle w:val="Heading2"/>
      </w:pPr>
      <w:r>
        <w:rPr>
          <w:rFonts w:ascii="Times New Roman" w:hAnsi="Times New Roman"/>
        </w:rPr>
        <w:t>3. Evidenzmaterial</w:t>
      </w:r>
    </w:p>
    <w:p>
      <w:pPr>
        <w:jc w:val="left"/>
      </w:pPr>
      <w:r>
        <w:t>Die Klinik legt eine Phase-II-Studie zur verwandten Antikörpergruppe, zwei Fallserien, ein Registersignal und eine Stellungnahme des europäischen Referenzzentrums vor. Eine Phase-III-Studie für exakt diese Indikation existiert nicht. Die Klinik argumentiert mit Seltenheit, Pathomechanismus und fehlender Alternative.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