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MD-Gutachten, Auszug</w:t>
      </w:r>
    </w:p>
    <w:p>
      <w:pPr>
        <w:pStyle w:val="Heading2"/>
      </w:pPr>
      <w:r>
        <w:rPr>
          <w:rFonts w:ascii="Times New Roman" w:hAnsi="Times New Roman"/>
        </w:rPr>
        <w:t>1. Ergebnis</w:t>
      </w:r>
    </w:p>
    <w:p>
      <w:pPr>
        <w:jc w:val="left"/>
      </w:pPr>
      <w:r>
        <w:t>Der MD empfiehlt Ablehnung der Kostenübernahme. Es liege ein Off-Label-Use außerhalb der arzneimittelrechtlichen Zulassung vor. Eine Empfehlung in der Arzneimittel-Richtlinie sei nicht ersichtlich. Für die konkrete Indikation fehle eine hochwertige Studie mit klinisch relevantem Nutzen.</w:t>
      </w:r>
    </w:p>
    <w:p>
      <w:pPr>
        <w:pStyle w:val="Heading2"/>
      </w:pPr>
      <w:r>
        <w:rPr>
          <w:rFonts w:ascii="Times New Roman" w:hAnsi="Times New Roman"/>
        </w:rPr>
        <w:t>2. Anerkannte Punkte</w:t>
      </w:r>
    </w:p>
    <w:p>
      <w:pPr>
        <w:jc w:val="left"/>
      </w:pPr>
      <w:r>
        <w:t>Der MD erkennt die Schwere der Erkrankung und die erhebliche Teilhabebeeinträchtigung an. Standardtherapien seien weitgehend ausgeschöpft. Gleichwohl sei der Nutzen von Neravexor für diese Indikation nicht hinreichend belegt.</w:t>
      </w:r>
    </w:p>
    <w:p>
      <w:pPr>
        <w:pStyle w:val="Heading2"/>
      </w:pPr>
      <w:r>
        <w:rPr>
          <w:rFonts w:ascii="Times New Roman" w:hAnsi="Times New Roman"/>
        </w:rPr>
        <w:t>3. Angriffspunkte</w:t>
      </w:r>
    </w:p>
    <w:p>
      <w:pPr>
        <w:jc w:val="left"/>
      </w:pPr>
      <w:r>
        <w:t>Das Gutachten setzt sich nur knapp mit der Registerauswertung und der Stellungnahme des Referenzzentrums auseinander. Es prüft nicht ausdrücklich, ob eine notstandsähnliche Situation nach Paragraf 2 Abs. 1a SGB V in Betracht kommt. Für den Eilantrag braucht es eine ärztliche Zusatzstellungnahme zu Prognose ohne Behandlung.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