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Arbeitsnotiz Studienlage</w:t>
      </w:r>
    </w:p>
    <w:p>
      <w:pPr>
        <w:pStyle w:val="Heading2"/>
      </w:pPr>
      <w:r>
        <w:rPr>
          <w:rFonts w:ascii="Times New Roman" w:hAnsi="Times New Roman"/>
        </w:rPr>
        <w:t>1. Material der Klinik</w:t>
      </w:r>
    </w:p>
    <w:p>
      <w:pPr>
        <w:jc w:val="left"/>
      </w:pPr>
      <w:r>
        <w:t>Die Klinik legt keine Phase-III-Studie für exakt Leylas Indikation vor. Vorhanden sind eine kleine kontrollierte Phase-II-Studie bei verwandter Erkrankung, zwei Fallserien mit insgesamt 19 Patienten, ein Registersignal und ein Expertenbrief. Das Material ist medizinisch ernst zu nehmen, rechtlich aber angreifbar.</w:t>
      </w:r>
    </w:p>
    <w:p>
      <w:pPr>
        <w:pStyle w:val="Heading2"/>
      </w:pPr>
      <w:r>
        <w:rPr>
          <w:rFonts w:ascii="Times New Roman" w:hAnsi="Times New Roman"/>
        </w:rPr>
        <w:t>2. Rechtliche Sortierung</w:t>
      </w:r>
    </w:p>
    <w:p>
      <w:pPr>
        <w:jc w:val="left"/>
      </w:pPr>
      <w:r>
        <w:t>Für den allgemeinen Off-Label-Use werden typischerweise schwere Erkrankung, fehlende Therapiealternative und begründete Erfolgsaussicht verlangt. Bei notstandsähnlicher Lage nach Paragraf 2 Abs. 1a SGB V kann die Prüfung anders akzentuiert sein, bleibt aber nicht evidenzfrei. Der Schriftsatz muss beides trennen.</w:t>
      </w:r>
    </w:p>
    <w:p>
      <w:pPr>
        <w:pStyle w:val="Heading2"/>
      </w:pPr>
      <w:r>
        <w:rPr>
          <w:rFonts w:ascii="Times New Roman" w:hAnsi="Times New Roman"/>
        </w:rPr>
        <w:t>3. Benötigte Ergänzung</w:t>
      </w:r>
    </w:p>
    <w:p>
      <w:pPr>
        <w:jc w:val="left"/>
      </w:pPr>
      <w:r>
        <w:t>Die Klinik soll bis 06.07.2026 beantworten: Wie schnell droht irreversible Verschlechterung? Welche Standardtherapie ist konkret ausgeschöpft? Welche objektiven Marker sprechen für Neravexor? Welches Risiko entsteht durch Abwarten bis Hauptsacheentscheidung?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