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Widerspruchsentwurf</w:t>
      </w:r>
    </w:p>
    <w:p>
      <w:pPr>
        <w:pStyle w:val="Heading2"/>
      </w:pPr>
      <w:r>
        <w:rPr>
          <w:rFonts w:ascii="Times New Roman" w:hAnsi="Times New Roman"/>
        </w:rPr>
        <w:t>1. Antrag</w:t>
      </w:r>
    </w:p>
    <w:p>
      <w:pPr>
        <w:jc w:val="left"/>
      </w:pPr>
      <w:r>
        <w:t>Gegen den Bescheid vom 24.06.2026 wird Widerspruch eingelegt. Beantragt wird die Übernahme der Kosten für die Behandlung mit Neravexor gemäß Antrag der Universitätsmedizin Mainz.</w:t>
      </w:r>
    </w:p>
    <w:p>
      <w:pPr>
        <w:pStyle w:val="Heading2"/>
      </w:pPr>
      <w:r>
        <w:rPr>
          <w:rFonts w:ascii="Times New Roman" w:hAnsi="Times New Roman"/>
        </w:rPr>
        <w:t>2. Begründung</w:t>
      </w:r>
    </w:p>
    <w:p>
      <w:pPr>
        <w:jc w:val="left"/>
      </w:pPr>
      <w:r>
        <w:t>Die Mandantin leidet an einer schwerwiegenden, rasch progredienten Erkrankung. Standardtherapien wurden ausgeschöpft oder sind medizinisch nicht mehr erfolgversprechend. Die Klinik legt eine pathophysiologisch begründete und durch Studien- sowie Registermaterial gestützte Erfolgsaussicht dar. Die Kasse und der MD haben die notstandsähnliche Lage und die konkrete Prognose ohne Behandlung nicht ausreichend gewürdigt.</w:t>
      </w:r>
    </w:p>
    <w:p>
      <w:pPr>
        <w:pStyle w:val="Heading2"/>
      </w:pPr>
      <w:r>
        <w:rPr>
          <w:rFonts w:ascii="Times New Roman" w:hAnsi="Times New Roman"/>
        </w:rPr>
        <w:t>3. Nachreichung</w:t>
      </w:r>
    </w:p>
    <w:p>
      <w:pPr>
        <w:jc w:val="left"/>
      </w:pPr>
      <w:r>
        <w:t>Eine ergänzende fachärztliche Stellungnahme zur Dringlichkeit, Alternativlosigkeit und Nutzenwahrscheinlichkeit wird bis 08.07.2026 nachgereicht.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