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Folgeprüfung Krankengeld, Reha und Rente</w:t>
      </w:r>
    </w:p>
    <w:p>
      <w:pPr>
        <w:pStyle w:val="Heading2"/>
      </w:pPr>
      <w:r>
        <w:rPr>
          <w:rFonts w:ascii="Times New Roman" w:hAnsi="Times New Roman"/>
        </w:rPr>
        <w:t>1. Leistungsübersicht</w:t>
      </w:r>
    </w:p>
    <w:p>
      <w:pPr>
        <w:jc w:val="left"/>
      </w:pPr>
      <w:r>
        <w:t>Leyla Tunc ist seit 03.05.2026 arbeitsunfähig. Entgeltfortzahlung läuft voraussichtlich bis 14.06.2026, danach Krankengeld. Schwerbehindertenantrag wurde noch nicht gestellt. Reha war wegen instabiler Erkrankung zurückgestellt.</w:t>
      </w:r>
    </w:p>
    <w:p>
      <w:pPr>
        <w:pStyle w:val="Heading2"/>
      </w:pPr>
      <w:r>
        <w:rPr>
          <w:rFonts w:ascii="Times New Roman" w:hAnsi="Times New Roman"/>
        </w:rPr>
        <w:t>2. Rentenberaterliche Folgearbeit</w:t>
      </w:r>
    </w:p>
    <w:p>
      <w:pPr>
        <w:jc w:val="left"/>
      </w:pPr>
      <w:r>
        <w:t>Krankengeldfrist, Reha-Antrag, Schwerbehindertenrecht und Erwerbsminderungsrente müssen in einem Fristenblatt geführt werden. Der Off-Label-Eilantrag hat Vorrang, aber die medizinischen Unterlagen sollen so abgelegt werden, dass sie später für Reha, GdB und Erwerbsminderung wiederverwendbar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