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Sachstandsanfrage nach vier Monaten</w:t>
      </w:r>
    </w:p>
    <w:p>
      <w:pPr>
        <w:jc w:val="left"/>
      </w:pPr>
      <w:r>
        <w:t>Am 05.06.2026 habe ich meinen Antrag auf Anerkennung als Kriegsdienstverweigerer gestellt. Der Antrag enthielt Anschreiben, vollständigen tabellarischen Lebenslauf und persönliche Begründung.</w:t>
      </w:r>
    </w:p>
    <w:p>
      <w:pPr>
        <w:jc w:val="left"/>
      </w:pPr>
      <w:r>
        <w:t>Ich bitte um kurze Mitteilung, mit welchem Eingangsdatum der Antrag geführt wird, welches Aktenzeichen oder welche Personenkennziffer vergeben wurde, ob Unterlagen fehlen, ob die Zuleitung an das BAFzA bereits erfolgt ist und ob § 13 KDVG n. F. angewendet wird.</w:t>
      </w:r>
    </w:p>
    <w:p>
      <w:pPr>
        <w:jc w:val="left"/>
      </w:pPr>
      <w:r>
        <w:t>Ich sehe, dass derzeit viele Anträge eingehen können. Zugleich betrifft mein Antrag eine Gewissensentscheidung mit erheblicher persönlicher Bedeutung. Ich bitte daher um eine kurze verfahrensleitende Rückmeldung.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