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Rechtsschutz-Memo</w:t>
      </w:r>
    </w:p>
    <w:p>
      <w:pPr>
        <w:jc w:val="left"/>
      </w:pPr>
      <w:r>
        <w:t>Der Antrag ging am 05.06.2026 beim BAPersBw ein. Malte Rabenow ist ungedient und vor dem 01.01.2010 geboren. § 13 KDVG n. F. ist daher zu prüfen.</w:t>
      </w:r>
    </w:p>
    <w:p>
      <w:pPr>
        <w:jc w:val="left"/>
      </w:pPr>
      <w:r>
        <w:t>§ 75 VwGO erlaubt eine Klage, wenn über einen Antrag auf Vornahme eines Verwaltungsakts ohne zureichenden Grund in angemessener Frist sachlich nicht entschieden wurde. Im KDV-Sonderfall nach § 13 KDVG n. F. soll über Anträge, die ohne vorherige Musterung zugeleitet werden, spätestens binnen neun Monaten seit Eingang beim BAPersBw entschieden werden.</w:t>
      </w:r>
    </w:p>
    <w:p>
      <w:pPr>
        <w:jc w:val="left"/>
      </w:pPr>
      <w:r>
        <w:t>Vorgehen: Eingang beweisen, Sachstandsanfrage an BAPersBw, Zuleitungsstand zum BAFzA klären, nach angemessener Zeit § 75 VwGO prüfen. Bei drohender Einberufung oder Heranziehung zusätzlich § 3 KDVG, § 13 Abs. 3 KDVG und Eilrechtsschutz nach § 80 oder § 123 VwGO prüfen.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