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Zusatznotiz: Reservisten und frühere Soldaten</w:t>
      </w:r>
    </w:p>
    <w:p>
      <w:pPr>
        <w:jc w:val="left"/>
      </w:pPr>
      <w:r>
        <w:t>Eine Reservistin oder ein Reservist mit Beorderung oder Heranziehung zu einer Übung hat eine andere Dringlichkeit. § 4 KDVG sieht eine vorrangige Entscheidung vor, wenn Reservistinnen oder Reservisten zu einer befristeten Übung oder Wehrübung einberufen worden sind.</w:t>
      </w:r>
    </w:p>
    <w:p>
      <w:pPr>
        <w:jc w:val="left"/>
      </w:pPr>
      <w:r>
        <w:t>Bei Soldaten auf Zeit muss die frühere Bereitschaft zum Dienst an der Waffe erklärt werden. Die Rechtsprechung verlangt bei Gedienten eine innere Umkehr oder einen grundlegenden Wandelungsprozess. Zusätzlich sind Statusfolgen und mögliche Ausbildungskostenfragen zu prüfen.</w:t>
      </w:r>
    </w:p>
    <w:p>
      <w:pPr>
        <w:jc w:val="left"/>
      </w:pPr>
      <w:r>
        <w:t>Auch Soldatinnen können sich auf Art. 4 Abs. 3 GG berufen, wenn sie dienen oder früher gedient haben und ein entsprechendes Rechtsschutzinteresse besteht.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