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Telefonnotiz BAPersBw</w:t>
      </w:r>
    </w:p>
    <w:p>
      <w:pPr>
        <w:jc w:val="left"/>
      </w:pPr>
      <w:r>
        <w:t>Datum: 22.07.2026</w:t>
      </w:r>
    </w:p>
    <w:p>
      <w:pPr>
        <w:jc w:val="left"/>
      </w:pPr>
      <w:r>
        <w:t>Uhrzeit: 10:12 Uhr</w:t>
      </w:r>
    </w:p>
    <w:p>
      <w:pPr>
        <w:jc w:val="left"/>
      </w:pPr>
      <w:r>
        <w:t>Teilnehmer: Kanzlei Buchenroth / BAPersBw Servicekontakt</w:t>
      </w:r>
    </w:p>
    <w:p>
      <w:pPr>
        <w:jc w:val="left"/>
      </w:pPr>
      <w:r>
        <w:t>Der Servicekontakt konnte ohne schriftliche Vollmacht keine Einzelheiten nennen. Allgemein wurde bestätigt, dass KDV-Anträge schriftlich oder zur Niederschrift beim BAPersBw einzureichen sind und von dort nach Registrierung und Prüfung der Verfahrensvoraussetzungen an das BAFzA weitergeleitet werden.</w:t>
      </w:r>
    </w:p>
    <w:p>
      <w:pPr>
        <w:jc w:val="left"/>
      </w:pPr>
      <w:r>
        <w:t>Bewertung: Vollmacht nachreichen, Eingangsnachweis aus Einschreiben abrufen, schriftlich nachfassen.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