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Fristen- und Nachweislog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Nachweis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an BAPersBw versandt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Einschreiben Einlieferungsbeleg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Friststart für Verfahrensdokumentation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07.06.2026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Zustellung laut Sendungsverfolgung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 DHL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 plausibel, Behördenbestätigung 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Telefonat Servicekontakt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Telefonnotiz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Vollmacht nachreichen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15.10.2026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Sachstandsanfrage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E-Mail-Entwurf + Postausgang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 § 75 sauberer Zwischenschritt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07.03.2027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neun Monate seit Eingang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Kalender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 Abs. 2 KDVG als starkes Argument prüfen</w:t>
            </w:r>
          </w:p>
        </w:tc>
      </w:tr>
    </w:tbl>
    <w:p>
      <w:pPr>
        <w:jc w:val="left"/>
      </w:pPr>
      <w:r>
        <w:t>Offen: Eingangsbestätigung BAPersBw, PK/Aktenzeichen, BAFzA-Zuleitung, redaktionelle Klärung der Gewissensbegründung.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