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Sachverhalt und offene Punkte</w:t>
      </w:r>
    </w:p>
    <w:p>
      <w:pPr>
        <w:pStyle w:val="Heading2"/>
      </w:pPr>
      <w:r>
        <w:rPr>
          <w:rFonts w:ascii="Times New Roman" w:hAnsi="Times New Roman"/>
        </w:rPr>
        <w:t>Punkt 1</w:t>
      </w:r>
    </w:p>
    <w:p>
      <w:pPr>
        <w:jc w:val="left"/>
      </w:pPr>
      <w:r>
        <w:t>Ein Maschinenbauer least zwölf CNC-Anlagen; drei stehen wegen Mangel und Softwarefehler still.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2</w:t>
      </w:r>
    </w:p>
    <w:p>
      <w:pPr>
        <w:jc w:val="left"/>
      </w:pPr>
      <w:r>
        <w:t>Der Leasinggeber droht Kündigung wegen Zahlungsverzugs, obwohl der Lieferant Nachbesserung zugesagt hat.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3</w:t>
      </w:r>
    </w:p>
    <w:p>
      <w:pPr>
        <w:jc w:val="left"/>
      </w:pPr>
      <w:r>
        <w:t>Die Restwertgarantie ist hoch; der Marktpreis ist eingebrochen.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4</w:t>
      </w:r>
    </w:p>
    <w:p>
      <w:pPr>
        <w:jc w:val="left"/>
      </w:pPr>
      <w:r>
        <w:t>Ein Sale-and-lease-back wurde sechs Monate vor Krise abgeschlossen.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5</w:t>
      </w:r>
    </w:p>
    <w:p>
      <w:pPr>
        <w:jc w:val="left"/>
      </w:pPr>
      <w:r>
        <w:t>Die finanzierende Bank will Forderungen und Sicherheiten verkaufen.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6</w:t>
      </w:r>
    </w:p>
    <w:p>
      <w:pPr>
        <w:jc w:val="left"/>
      </w:pPr>
      <w:r>
        <w:t>Gerüchte über Insolvenzantrag machen Fortführung und Herausgabe unsicher.</w:t>
      </w:r>
    </w:p>
    <w:p>
      <w:pPr>
        <w:jc w:val="left"/>
      </w:pPr>
      <w:r>
        <w:t>Prüffrage: Welche Unterlage belegt das, welche Rechtsfolge hängt daran und welche Frist läuft?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