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Methodikvermerk — Verfahrensdurchlauf Pflichtpostfach</w:t>
      </w:r>
    </w:p>
    <w:p>
      <w:pPr>
        <w:jc w:val="left"/>
      </w:pPr>
      <w:r>
        <w:rPr>
          <w:b/>
        </w:rPr>
        <w:t>Betreff:</w:t>
      </w:r>
      <w:r>
        <w:t xml:space="preserve"> Elektronisches Pflichtpostfach für registerpflichtige Unternehmen und Plattformadressaten</w:t>
      </w:r>
    </w:p>
    <w:p>
      <w:pPr>
        <w:jc w:val="left"/>
      </w:pPr>
      <w:r>
        <w:rPr>
          <w:b/>
        </w:rPr>
        <w:t>Stand:</w:t>
      </w:r>
      <w:r>
        <w:t xml:space="preserve"> 12.05.2026</w:t>
      </w:r>
    </w:p>
    <w:p>
      <w:pPr>
        <w:jc w:val="left"/>
      </w:pPr>
      <w:r>
        <w:rPr>
          <w:b/>
        </w:rPr>
        <w:t>Adressaten:</w:t>
      </w:r>
      <w:r>
        <w:t xml:space="preserve"> Referat, Unterabteilungsleitung, Hausleitungsvorbereitung</w:t>
      </w:r>
    </w:p>
    <w:p>
      <w:pPr>
        <w:pStyle w:val="Heading2"/>
      </w:pPr>
      <w:r>
        <w:rPr>
          <w:rFonts w:ascii="Times New Roman" w:hAnsi="Times New Roman"/>
        </w:rPr>
        <w:t>1. Zweck des Vermerks</w:t>
      </w:r>
    </w:p>
    <w:p>
      <w:pPr>
        <w:jc w:val="left"/>
      </w:pPr>
      <w:r>
        <w:t>Der Vermerk ordnet die Akte für den weiteren Rechtsetzungsdurchlauf. Er ist kein Gesetzentwurf, sondern eine Arbeitsanleitung für die Prüfung, welche Unterlagen in welcher Reihenfolge aus der Akte entstehen sollen: Auftragsblatt, Normhierarchie, Kompetenzvermerk, Referentenentwurf, Begründung, Synopse, Folgenabschätzung, XML-Paralleldarstellung und Kabinettsmappe.</w:t>
      </w:r>
    </w:p>
    <w:p>
      <w:pPr>
        <w:pStyle w:val="Heading2"/>
      </w:pPr>
      <w:r>
        <w:rPr>
          <w:rFonts w:ascii="Times New Roman" w:hAnsi="Times New Roman"/>
        </w:rPr>
        <w:t>2. Empfohlene Bearbeitungsfolge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Block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Arbeitsschritt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Zuständige Prüfung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Politische Vorgabe in Regelungsauftrag übersetzen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Ziel, Problem, Adressatenkreis, Vollzugsdefizit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Normhierarchie festlegen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Stammgesetz, Änderungsgesetz, Rechtsverordnung, Verwaltungsvorschrift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Kompetenz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Gesetzgebungskompetenz, Vollzug, Satzungsspielräume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Verfassungs- und Europarecht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80 GG, Bestimmtheit, Verhältnismäßigkeit, DSA/eIDAS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Normentext bauen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Begriffe, Pflichten, Übergangsrecht, Sanktionen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Begründung und Synopse erstellen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Allgemeiner Teil, Einzelbegründung, Folgeänderungen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Folgen abschätzen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Erfüllungsaufwand, Digitalcheck, KMU, Datenschutz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Kabinetts- und Parlamentsfassung vorbereiten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Vorblatt, Drucksachenlogik, Formulierungshilfe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Akteninterne Reibungspunkte</w:t>
      </w:r>
    </w:p>
    <w:p>
      <w:pPr>
        <w:pStyle w:val="ListNumber"/>
      </w:pPr>
      <w:r>
        <w:rPr>
          <w:b/>
        </w:rPr>
        <w:t>DSA-Schwelle:</w:t>
      </w:r>
      <w:r>
        <w:t xml:space="preserve"> Der erste Entwurf arbeitet mit "vergleichbar großen" Plattformen. Das ist zu unbestimmt und muss am Wortlaut des Art. 33 DSA gespiegelt werden.</w:t>
      </w:r>
    </w:p>
    <w:p>
      <w:pPr>
        <w:pStyle w:val="ListNumber"/>
      </w:pPr>
      <w:r>
        <w:rPr>
          <w:b/>
        </w:rPr>
        <w:t>Verordnungsermächtigung:</w:t>
      </w:r>
      <w:r>
        <w:t xml:space="preserve"> § 5 PflPostG braucht Inhalt, Zweck und Ausmaß im Sinne des Art. 80 GG.</w:t>
      </w:r>
    </w:p>
    <w:p>
      <w:pPr>
        <w:pStyle w:val="ListNumber"/>
      </w:pPr>
      <w:r>
        <w:rPr>
          <w:b/>
        </w:rPr>
        <w:t>Kompetenztitel:</w:t>
      </w:r>
      <w:r>
        <w:t xml:space="preserve"> Die Begründung muss sauber zwischen Art. 74 Abs. 1 Nr. 1 GG und Durchführungskompetenzen für EU-Recht unterscheiden.</w:t>
      </w:r>
    </w:p>
    <w:p>
      <w:pPr>
        <w:pStyle w:val="ListNumber"/>
      </w:pPr>
      <w:r>
        <w:rPr>
          <w:b/>
        </w:rPr>
        <w:t>Notifizierung:</w:t>
      </w:r>
      <w:r>
        <w:t xml:space="preserve"> Eine Stillhaltefrist nach Richtlinie (EU) 2015/1535 ist im Zeitplan einzubauen, wenn technische Vorschriften betroffen sind.</w:t>
      </w:r>
    </w:p>
    <w:p>
      <w:pPr>
        <w:pStyle w:val="ListNumber"/>
      </w:pPr>
      <w:r>
        <w:rPr>
          <w:b/>
        </w:rPr>
        <w:t>Terminologie:</w:t>
      </w:r>
      <w:r>
        <w:t xml:space="preserve"> "Pflichtpostfach", "Interoperabilität", "Zugang", "Zustellung" und "Abrufpflicht" dürfen nicht synonym verwendet werden.</w:t>
      </w:r>
    </w:p>
    <w:p>
      <w:pPr>
        <w:pStyle w:val="ListNumber"/>
      </w:pPr>
      <w:r>
        <w:rPr>
          <w:b/>
        </w:rPr>
        <w:t>Übergangsrecht:</w:t>
      </w:r>
      <w:r>
        <w:t xml:space="preserve"> Ohne realistische Umsetzungsfrist droht eine unverhältnismäßige Belastung kleinerer Registeradressaten.</w:t>
      </w:r>
    </w:p>
    <w:p>
      <w:pPr>
        <w:pStyle w:val="Heading2"/>
      </w:pPr>
      <w:r>
        <w:rPr>
          <w:rFonts w:ascii="Times New Roman" w:hAnsi="Times New Roman"/>
        </w:rPr>
        <w:t>4. Lieferstände</w:t>
      </w:r>
    </w:p>
    <w:p>
      <w:pPr>
        <w:pStyle w:val="ListBullet"/>
      </w:pPr>
      <w:r>
        <w:t>Auftragsblatt mit politischem Zielbild.</w:t>
      </w:r>
    </w:p>
    <w:p>
      <w:pPr>
        <w:pStyle w:val="ListBullet"/>
      </w:pPr>
      <w:r>
        <w:t>Kompetenz- und Normhierarchievermerk.</w:t>
      </w:r>
    </w:p>
    <w:p>
      <w:pPr>
        <w:pStyle w:val="ListBullet"/>
      </w:pPr>
      <w:r>
        <w:t>Referentenentwurf mit Vorblatt, Gesetzestext und Begründung.</w:t>
      </w:r>
    </w:p>
    <w:p>
      <w:pPr>
        <w:pStyle w:val="ListBullet"/>
      </w:pPr>
      <w:r>
        <w:t>Synopse für Folgeänderungen in HGB, ZPO, FamFG, VwZG und AO.</w:t>
      </w:r>
    </w:p>
    <w:p>
      <w:pPr>
        <w:pStyle w:val="ListBullet"/>
      </w:pPr>
      <w:r>
        <w:t>Folgenabschätzung mit Erfüllungsaufwand und Digitalcheck.</w:t>
      </w:r>
    </w:p>
    <w:p>
      <w:pPr>
        <w:pStyle w:val="ListBullet"/>
      </w:pPr>
      <w:r>
        <w:t>Ressort- und Verbändeanhörungsmatrix.</w:t>
      </w:r>
    </w:p>
    <w:p>
      <w:pPr>
        <w:pStyle w:val="ListBullet"/>
      </w:pPr>
      <w:r>
        <w:t>Kabinettsmappe und Parlamentsfassung.</w:t>
      </w:r>
    </w:p>
    <w:p>
      <w:pPr>
        <w:pStyle w:val="Heading2"/>
      </w:pPr>
      <w:r>
        <w:rPr>
          <w:rFonts w:ascii="Times New Roman" w:hAnsi="Times New Roman"/>
        </w:rPr>
        <w:t>5. Qualitätsgate vor Weitergabe</w:t>
      </w:r>
    </w:p>
    <w:p>
      <w:pPr>
        <w:pStyle w:val="ListBullet"/>
      </w:pPr>
      <w:r>
        <w:t>Keine Goldplating-Formulierung ohne ausdrückliche politische Entscheidung.</w:t>
      </w:r>
    </w:p>
    <w:p>
      <w:pPr>
        <w:pStyle w:val="ListBullet"/>
      </w:pPr>
      <w:r>
        <w:t>Keine Verordnungsermächtigung ohne Art.-80-GG-Dreiklang.</w:t>
      </w:r>
    </w:p>
    <w:p>
      <w:pPr>
        <w:pStyle w:val="ListBullet"/>
      </w:pPr>
      <w:r>
        <w:t>Jede Folgeänderung muss im Stammgesetz verankert und in der Synopse wiederauffindbar sein.</w:t>
      </w:r>
    </w:p>
    <w:p>
      <w:pPr>
        <w:pStyle w:val="ListBullet"/>
      </w:pPr>
      <w:r>
        <w:t>Übergangsfrist, Inkrafttreten und Notifizierung müssen zueinander passen.</w:t>
      </w:r>
    </w:p>
    <w:p>
      <w:pPr>
        <w:pStyle w:val="ListBullet"/>
      </w:pPr>
      <w:r>
        <w:t>DOCX/PDF-Ausgabe erst nach terminologischer Konsistenzprüfung.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