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DSA — Verordnung (EU) 2022/2065 — relevante Artikel im Volltext</w:t>
      </w:r>
    </w:p>
    <w:p>
      <w:pPr>
        <w:jc w:val="left"/>
      </w:pPr>
      <w:r>
        <w:t>— Bearbeitungsrelevante Auszüge für den Entwurf des Pflichtpostfachgesetzes —</w:t>
      </w:r>
    </w:p>
    <w:p>
      <w:pPr>
        <w:jc w:val="left"/>
      </w:pPr>
      <w:r>
        <w:t>Stand: konsolidierte Fassung Stand August 2024.</w:t>
      </w:r>
    </w:p>
    <w:p/>
    <w:p>
      <w:pPr>
        <w:pStyle w:val="Heading2"/>
      </w:pPr>
      <w:r>
        <w:rPr>
          <w:rFonts w:ascii="Times New Roman" w:hAnsi="Times New Roman"/>
        </w:rPr>
        <w:t>Artikel 33 — Sehr große Online-Plattformen und sehr große Online-Suchmaschinen</w:t>
      </w:r>
    </w:p>
    <w:p>
      <w:pPr>
        <w:pStyle w:val="Heading3"/>
      </w:pPr>
      <w:r>
        <w:rPr>
          <w:rFonts w:ascii="Times New Roman" w:hAnsi="Times New Roman"/>
        </w:rPr>
        <w:t>Absatz 1</w:t>
      </w:r>
    </w:p>
    <w:p>
      <w:pPr>
        <w:ind w:left="567"/>
      </w:pPr>
      <w:r>
        <w:rPr>
          <w:i/>
        </w:rPr>
        <w:t>"Dieser Abschnitt gilt für Online-Plattformen und Online-Suchmaschinen mit einer durchschnittlichen monatlichen Zahl aktiver Nutzer in der Union, die mindestens 45 Millionen beträgt und die gemäß Absatz 4 als sehr große Online-Plattformen oder sehr große Online-Suchmaschinen benannt sind."</w:t>
      </w:r>
    </w:p>
    <w:p>
      <w:pPr>
        <w:pStyle w:val="Heading3"/>
      </w:pPr>
      <w:r>
        <w:rPr>
          <w:rFonts w:ascii="Times New Roman" w:hAnsi="Times New Roman"/>
        </w:rPr>
        <w:t>Absatz 2</w:t>
      </w:r>
    </w:p>
    <w:p>
      <w:pPr>
        <w:ind w:left="567"/>
      </w:pPr>
      <w:r>
        <w:rPr>
          <w:i/>
        </w:rPr>
        <w:t>"Die Kommission erlässt delegierte Rechtsakte gemäß Artikel 87 zur Ergänzung dieser Verordnung, in denen die Methodik zur Berechnung der durchschnittlichen monatlichen Zahl aktiver Nutzer in der Union für die Zwecke von Absatz 1 dieses Artikels und Artikel 24 Absatz 2 festgelegt wird, wobei sicherzustellen ist, dass die Methodik den technischen und gesellschaftlichen Entwicklungen Rechnung trägt."</w:t>
      </w:r>
    </w:p>
    <w:p>
      <w:pPr>
        <w:pStyle w:val="Heading3"/>
      </w:pPr>
      <w:r>
        <w:rPr>
          <w:rFonts w:ascii="Times New Roman" w:hAnsi="Times New Roman"/>
        </w:rPr>
        <w:t>Absatz 3</w:t>
      </w:r>
    </w:p>
    <w:p>
      <w:pPr>
        <w:ind w:left="567"/>
      </w:pPr>
      <w:r>
        <w:rPr>
          <w:i/>
        </w:rPr>
        <w:t>"Die Kommission kann auf eigene Initiative oder auf hinreichend begründetes Verlangen des Koordinators für digitale Dienste am Niederlassungsort einen Anbieter einer Online-Plattform oder einer Online-Suchmaschine, der seine durchschnittliche monatliche Zahl aktiver Nutzer veröffentlicht oder veröffentlicht hat, zur Übermittlung sämtlicher Informationen auffordern, die für die Bewertung erforderlich sind, ob eine Online-Plattform oder eine Online-Suchmaschine die in Absatz 1 genannte Schwelle erfüllt."</w:t>
      </w:r>
    </w:p>
    <w:p>
      <w:pPr>
        <w:pStyle w:val="Heading3"/>
      </w:pPr>
      <w:r>
        <w:rPr>
          <w:rFonts w:ascii="Times New Roman" w:hAnsi="Times New Roman"/>
        </w:rPr>
        <w:t>Absatz 4</w:t>
      </w:r>
    </w:p>
    <w:p>
      <w:pPr>
        <w:ind w:left="567"/>
      </w:pPr>
      <w:r>
        <w:rPr>
          <w:i/>
        </w:rPr>
        <w:t>"Die Kommission erlässt nach Konsultation des Niederlassungsmitgliedstaats oder nach Berücksichtigung der Informationen, die vom Koordinator für digitale Dienste am Niederlassungsort übermittelt wurden, einen Beschluss, mit dem für die Zwecke dieser Verordnung die Online-Plattform oder die Online-Suchmaschine als sehr große Online-Plattform oder sehr große Online-Suchmaschine benannt wird, deren durchschnittliche monatliche Zahl der aktiven Nutzer mindestens 45 Millionen beträgt. Die Kommission trifft ihre Entscheidung auf der Grundlage der vom Anbieter der Online-Plattform oder der Online-Suchmaschine gemäß Artikel 24 Absatz 2 übermittelten Daten oder auf der Grundlage von Informationen, die im Rahmen eines Verlangens nach Absatz 3 dieses Artikels eingegangen sind, oder auf der Grundlage sonstiger der Kommission verfügbarer Informationen."</w:t>
      </w:r>
    </w:p>
    <w:p>
      <w:pPr>
        <w:pStyle w:val="Heading3"/>
      </w:pPr>
      <w:r>
        <w:rPr>
          <w:rFonts w:ascii="Times New Roman" w:hAnsi="Times New Roman"/>
        </w:rPr>
        <w:t>Absatz 5</w:t>
      </w:r>
    </w:p>
    <w:p>
      <w:pPr>
        <w:ind w:left="567"/>
      </w:pPr>
      <w:r>
        <w:rPr>
          <w:i/>
        </w:rPr>
        <w:t>"Die Kommission veröffentlicht im Amtsblatt der Europäischen Union die Liste der gemäß Absatz 4 benannten sehr großen Online-Plattformen und sehr großen Online-Suchmaschinen und aktualisiert sie."</w:t>
      </w:r>
    </w:p>
    <w:p>
      <w:pPr>
        <w:pStyle w:val="Heading3"/>
      </w:pPr>
      <w:r>
        <w:rPr>
          <w:rFonts w:ascii="Times New Roman" w:hAnsi="Times New Roman"/>
        </w:rPr>
        <w:t>Absatz 6</w:t>
      </w:r>
    </w:p>
    <w:p>
      <w:pPr>
        <w:ind w:left="567"/>
      </w:pPr>
      <w:r>
        <w:rPr>
          <w:i/>
        </w:rPr>
        <w:t>"Die Verpflichtungen dieses Abschnitts gelten für sehr große Online-Plattformen und sehr große Online-Suchmaschinen ab vier Monate nach der Mitteilung an den betreffenden Anbieter gemäß Absatz 4 Unterabsatz 2."</w:t>
      </w:r>
    </w:p>
    <w:p/>
    <w:p>
      <w:pPr>
        <w:pStyle w:val="Heading2"/>
      </w:pPr>
      <w:r>
        <w:rPr>
          <w:rFonts w:ascii="Times New Roman" w:hAnsi="Times New Roman"/>
        </w:rPr>
        <w:t>Artikel 11 — Kontaktstellen für die Behörden der Mitgliedstaaten, die Kommission und den Ausschuss</w:t>
      </w:r>
    </w:p>
    <w:p>
      <w:pPr>
        <w:pStyle w:val="Heading3"/>
      </w:pPr>
      <w:r>
        <w:rPr>
          <w:rFonts w:ascii="Times New Roman" w:hAnsi="Times New Roman"/>
        </w:rPr>
        <w:t>Absatz 1</w:t>
      </w:r>
    </w:p>
    <w:p>
      <w:pPr>
        <w:ind w:left="567"/>
      </w:pPr>
      <w:r>
        <w:rPr>
          <w:i/>
        </w:rPr>
        <w:t>"Anbieter von Vermittlungsdiensten benennen eine einzige Kontaktstelle, die es ihnen ermöglicht, mit den Behörden der Mitgliedstaaten, der Kommission und dem in Artikel 61 genannten Ausschuss direkt für die Anwendung dieser Verordnung auf elektronischem Wege zu kommunizieren."</w:t>
      </w:r>
    </w:p>
    <w:p>
      <w:pPr>
        <w:pStyle w:val="Heading3"/>
      </w:pPr>
      <w:r>
        <w:rPr>
          <w:rFonts w:ascii="Times New Roman" w:hAnsi="Times New Roman"/>
        </w:rPr>
        <w:t>Absatz 2</w:t>
      </w:r>
    </w:p>
    <w:p>
      <w:pPr>
        <w:ind w:left="567"/>
      </w:pPr>
      <w:r>
        <w:rPr>
          <w:i/>
        </w:rPr>
        <w:t>"Die Anbieter veröffentlichen die für die direkte und schnelle Kontaktaufnahme mit ihren Kontaktstellen erforderlichen Informationen, einschließlich der Sprachen, die hierfür ausgewählt werden und zu denen mindestens eine der Amtssprachen des Mitgliedstaats gehört, in dem ihre Hauptniederlassung sich befindet oder in dem ihr gesetzlicher Vertreter wohnt oder niedergelassen ist, sowie gegebenenfalls die Amtssprache, die die Behörden der Mitgliedstaaten zur Kommunikation in der Stellungnahme nach Artikel 16 Absatz 4 verwenden, und ergänzen sie."</w:t>
      </w:r>
    </w:p>
    <w:p>
      <w:pPr>
        <w:pStyle w:val="Heading3"/>
      </w:pPr>
      <w:r>
        <w:rPr>
          <w:rFonts w:ascii="Times New Roman" w:hAnsi="Times New Roman"/>
        </w:rPr>
        <w:t>Konsequenz für den Entwurf</w:t>
      </w:r>
    </w:p>
    <w:p>
      <w:pPr>
        <w:jc w:val="left"/>
      </w:pPr>
      <w:r>
        <w:t xml:space="preserve">Das Pflichtpostfach </w:t>
      </w:r>
      <w:r>
        <w:rPr>
          <w:b/>
        </w:rPr>
        <w:t>kann</w:t>
      </w:r>
      <w:r>
        <w:t xml:space="preserve"> für die Anbieter sehr großer Online-Plattformen als zugleich die nach Artikel 11 DSA erforderliche Kontaktstelle dienen, soweit es deren technische und sprachliche Anforderungen erfüllt. Eine entsprechende Klarstellung wäre in der Begründung zu § 1 Abs. 1 Nr. 2 PflPostG sinnvoll.</w:t>
      </w:r>
    </w:p>
    <w:p/>
    <w:p>
      <w:pPr>
        <w:pStyle w:val="Heading2"/>
      </w:pPr>
      <w:r>
        <w:rPr>
          <w:rFonts w:ascii="Times New Roman" w:hAnsi="Times New Roman"/>
        </w:rPr>
        <w:t>Artikel 12 — Kontaktstellen für die Nutzer der Dienste</w:t>
      </w:r>
    </w:p>
    <w:p>
      <w:pPr>
        <w:pStyle w:val="Heading3"/>
      </w:pPr>
      <w:r>
        <w:rPr>
          <w:rFonts w:ascii="Times New Roman" w:hAnsi="Times New Roman"/>
        </w:rPr>
        <w:t>Absatz 1</w:t>
      </w:r>
    </w:p>
    <w:p>
      <w:pPr>
        <w:ind w:left="567"/>
      </w:pPr>
      <w:r>
        <w:rPr>
          <w:i/>
        </w:rPr>
        <w:t>"Anbieter von Vermittlungsdiensten benennen eine einzige Kontaktstelle, die es den Nutzern der Dienste ermöglicht, mit ihnen direkt und schnell, auf elektronischem Wege und in benutzerfreundlicher Weise zu kommunizieren, einschließlich durch Bereitstellung der Möglichkeit, an die Nutzer der Dienste das Kommunikationsmittel ihrer Wahl zu wählen, das nicht ausschließlich auf automatisierten Werkzeugen beruht."</w:t>
      </w:r>
    </w:p>
    <w:p>
      <w:pPr>
        <w:pStyle w:val="Heading3"/>
      </w:pPr>
      <w:r>
        <w:rPr>
          <w:rFonts w:ascii="Times New Roman" w:hAnsi="Times New Roman"/>
        </w:rPr>
        <w:t>Konsequenz für den Entwurf</w:t>
      </w:r>
    </w:p>
    <w:p>
      <w:pPr>
        <w:jc w:val="left"/>
      </w:pPr>
      <w:r>
        <w:t xml:space="preserve">Die Nutzer-Kontaktstelle nach Artikel 12 DSA ist eine </w:t>
      </w:r>
      <w:r>
        <w:rPr>
          <w:b/>
        </w:rPr>
        <w:t>separate</w:t>
      </w:r>
      <w:r>
        <w:t xml:space="preserve"> Pflicht und nicht das Pflichtpostfach. Klarstellung in der Begründung erforderlich, um Verwechslungen zu vermeiden.</w:t>
      </w:r>
    </w:p>
    <w:p/>
    <w:p>
      <w:pPr>
        <w:pStyle w:val="Heading2"/>
      </w:pPr>
      <w:r>
        <w:rPr>
          <w:rFonts w:ascii="Times New Roman" w:hAnsi="Times New Roman"/>
        </w:rPr>
        <w:t>Artikel 13 — Gesetzliche Vertreter</w:t>
      </w:r>
    </w:p>
    <w:p>
      <w:pPr>
        <w:pStyle w:val="Heading3"/>
      </w:pPr>
      <w:r>
        <w:rPr>
          <w:rFonts w:ascii="Times New Roman" w:hAnsi="Times New Roman"/>
        </w:rPr>
        <w:t>Absatz 1</w:t>
      </w:r>
    </w:p>
    <w:p>
      <w:pPr>
        <w:ind w:left="567"/>
      </w:pPr>
      <w:r>
        <w:rPr>
          <w:i/>
        </w:rPr>
        <w:t>"Anbieter von Vermittlungsdiensten, die ihren Hauptsitz nicht in der Union haben, aber Dienste in der Union anbieten, müssen schriftlich eine natürliche oder juristische Person zu ihrem gesetzlichen Vertreter in einem der Mitgliedstaaten benennen, in dem der Anbieter seine Dienste anbietet."</w:t>
      </w:r>
    </w:p>
    <w:p>
      <w:pPr>
        <w:pStyle w:val="Heading3"/>
      </w:pPr>
      <w:r>
        <w:rPr>
          <w:rFonts w:ascii="Times New Roman" w:hAnsi="Times New Roman"/>
        </w:rPr>
        <w:t>Absatz 2</w:t>
      </w:r>
    </w:p>
    <w:p>
      <w:pPr>
        <w:ind w:left="567"/>
      </w:pPr>
      <w:r>
        <w:rPr>
          <w:i/>
        </w:rPr>
        <w:t>"Anbieter von Vermittlungsdiensten beauftragen ihre gesetzlichen Vertreter mit der Wahrnehmung von Aufgaben zusätzlich oder anstelle des Anbieters und der Entgegennahme von Mitteilungen und Beschlüssen der zuständigen Behörden der Mitgliedstaaten oder der Kommission und des Ausschusses; sie kommen sämtlichen Anweisungen der zuständigen Behörden, der Kommission oder des Ausschusses bezüglich des betreffenden Vermittlungsdienstes nach."</w:t>
      </w:r>
    </w:p>
    <w:p>
      <w:pPr>
        <w:pStyle w:val="Heading3"/>
      </w:pPr>
      <w:r>
        <w:rPr>
          <w:rFonts w:ascii="Times New Roman" w:hAnsi="Times New Roman"/>
        </w:rPr>
        <w:t>Konsequenz für den Entwurf</w:t>
      </w:r>
    </w:p>
    <w:p>
      <w:pPr>
        <w:jc w:val="left"/>
      </w:pPr>
      <w:r>
        <w:t>Drittstaaten-Anbieter sehr großer Online-Plattformen / -Suchmaschinen müssen einen gesetzlichen Vertreter in der Union benennen (Artikel 13 DSA). Das Pflichtpostfach kann dem gesetzlichen Vertreter zugeordnet werden, soweit dieser im Bundesgebiet niedergelassen ist. Bei Niederlassung in einem anderen EU-Mitgliedstaat ist die Pflicht aus § 1 Abs. 1 Nr. 2 PflPostG zu prüfen.</w:t>
      </w:r>
    </w:p>
    <w:p/>
    <w:p>
      <w:pPr>
        <w:pStyle w:val="Heading2"/>
      </w:pPr>
      <w:r>
        <w:rPr>
          <w:rFonts w:ascii="Times New Roman" w:hAnsi="Times New Roman"/>
        </w:rPr>
        <w:t>Artikel 24 — Berichtspflichten in Bezug auf Transparenz</w:t>
      </w:r>
    </w:p>
    <w:p>
      <w:pPr>
        <w:pStyle w:val="Heading3"/>
      </w:pPr>
      <w:r>
        <w:rPr>
          <w:rFonts w:ascii="Times New Roman" w:hAnsi="Times New Roman"/>
        </w:rPr>
        <w:t>Absatz 2</w:t>
      </w:r>
    </w:p>
    <w:p>
      <w:pPr>
        <w:ind w:left="567"/>
      </w:pPr>
      <w:r>
        <w:rPr>
          <w:i/>
        </w:rPr>
        <w:t>"Spätestens am 17. Februar 2023 und mindestens einmal alle sechs Monate veröffentlichen die Anbieter Informationen über die durchschnittliche monatliche Zahl der aktiven Empfänger der Dienste in der Union, deren Berechnung über einen Zeitraum von sechs Monaten als Durchschnitt erfolgt, in Übereinstimmung mit der gemäß den delegierten Rechtsakten nach Artikel 33 Absatz 2 festgelegten Methodik, sofern diese delegierten Rechtsakte erlassen wurden."</w:t>
      </w:r>
    </w:p>
    <w:p>
      <w:pPr>
        <w:pStyle w:val="Heading3"/>
      </w:pPr>
      <w:r>
        <w:rPr>
          <w:rFonts w:ascii="Times New Roman" w:hAnsi="Times New Roman"/>
        </w:rPr>
        <w:t>Konsequenz für den Entwurf</w:t>
      </w:r>
    </w:p>
    <w:p>
      <w:pPr>
        <w:jc w:val="left"/>
      </w:pPr>
      <w:r>
        <w:t>Die Berichtspflichten nach Artikel 24 DSA werden zur Ermittlung der VLOP/VLOSE-Eigenschaft herangezogen. Damit ist die Liste der Anbieter, die unter § 1 Abs. 1 Nr. 2 PflPostG fallen, gut nachvollziehbar.</w:t>
      </w:r>
    </w:p>
    <w:p/>
    <w:p>
      <w:pPr>
        <w:pStyle w:val="Heading2"/>
      </w:pPr>
      <w:r>
        <w:rPr>
          <w:rFonts w:ascii="Times New Roman" w:hAnsi="Times New Roman"/>
        </w:rPr>
        <w:t>Liste der sehr großen Online-Plattformen und sehr großen Online-Suchmaschinen (Stand Oktober 2026)</w:t>
      </w:r>
    </w:p>
    <w:p>
      <w:pPr>
        <w:jc w:val="left"/>
      </w:pPr>
      <w:r>
        <w:t>Die folgende Liste ist beispielhaft. Die rechtsverbindliche Liste wird von der EU-Kommission im Amtsblatt veröffentlicht und auf der DSA-Webseite der Kommission aktualisiert (https://digital-strategy.ec.europa.eu).</w:t>
      </w:r>
    </w:p>
    <w:p>
      <w:pPr>
        <w:pStyle w:val="Heading3"/>
      </w:pPr>
      <w:r>
        <w:rPr>
          <w:rFonts w:ascii="Times New Roman" w:hAnsi="Times New Roman"/>
        </w:rPr>
        <w:t>Sehr große Online-Plattformen (VLOPs)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Anbieter</w:t>
            </w:r>
          </w:p>
        </w:tc>
        <w:tc>
          <w:tcPr>
            <w:tcW w:type="dxa" w:w="2268"/>
          </w:tcPr>
          <w:p>
            <w:r>
              <w:rPr>
                <w:rFonts w:ascii="Times New Roman" w:hAnsi="Times New Roman"/>
                <w:b/>
                <w:sz w:val="20"/>
              </w:rPr>
              <w:t>Dienst</w:t>
            </w:r>
          </w:p>
        </w:tc>
        <w:tc>
          <w:tcPr>
            <w:tcW w:type="dxa" w:w="2268"/>
          </w:tcPr>
          <w:p>
            <w:r>
              <w:rPr>
                <w:rFonts w:ascii="Times New Roman" w:hAnsi="Times New Roman"/>
                <w:b/>
                <w:sz w:val="20"/>
              </w:rPr>
              <w:t>Benennung</w:t>
            </w:r>
          </w:p>
        </w:tc>
      </w:tr>
      <w:tr>
        <w:tc>
          <w:tcPr>
            <w:tcW w:type="dxa" w:w="2268"/>
          </w:tcPr>
          <w:p>
            <w:r>
              <w:rPr>
                <w:rFonts w:ascii="Times New Roman" w:hAnsi="Times New Roman"/>
                <w:sz w:val="20"/>
              </w:rPr>
              <w:t>1</w:t>
            </w:r>
          </w:p>
        </w:tc>
        <w:tc>
          <w:tcPr>
            <w:tcW w:type="dxa" w:w="2268"/>
          </w:tcPr>
          <w:p>
            <w:r>
              <w:rPr>
                <w:rFonts w:ascii="Times New Roman" w:hAnsi="Times New Roman"/>
                <w:sz w:val="20"/>
              </w:rPr>
              <w:t>Alphabet Inc.</w:t>
            </w:r>
          </w:p>
        </w:tc>
        <w:tc>
          <w:tcPr>
            <w:tcW w:type="dxa" w:w="2268"/>
          </w:tcPr>
          <w:p>
            <w:r>
              <w:rPr>
                <w:rFonts w:ascii="Times New Roman" w:hAnsi="Times New Roman"/>
                <w:sz w:val="20"/>
              </w:rPr>
              <w:t>YouTube</w:t>
            </w:r>
          </w:p>
        </w:tc>
        <w:tc>
          <w:tcPr>
            <w:tcW w:type="dxa" w:w="2268"/>
          </w:tcPr>
          <w:p>
            <w:r>
              <w:rPr>
                <w:rFonts w:ascii="Times New Roman" w:hAnsi="Times New Roman"/>
                <w:sz w:val="20"/>
              </w:rPr>
              <w:t>25.04.2023</w:t>
            </w:r>
          </w:p>
        </w:tc>
      </w:tr>
      <w:tr>
        <w:tc>
          <w:tcPr>
            <w:tcW w:type="dxa" w:w="2268"/>
          </w:tcPr>
          <w:p>
            <w:r>
              <w:rPr>
                <w:rFonts w:ascii="Times New Roman" w:hAnsi="Times New Roman"/>
                <w:sz w:val="20"/>
              </w:rPr>
              <w:t>2</w:t>
            </w:r>
          </w:p>
        </w:tc>
        <w:tc>
          <w:tcPr>
            <w:tcW w:type="dxa" w:w="2268"/>
          </w:tcPr>
          <w:p>
            <w:r>
              <w:rPr>
                <w:rFonts w:ascii="Times New Roman" w:hAnsi="Times New Roman"/>
                <w:sz w:val="20"/>
              </w:rPr>
              <w:t>Meta Platforms Inc.</w:t>
            </w:r>
          </w:p>
        </w:tc>
        <w:tc>
          <w:tcPr>
            <w:tcW w:type="dxa" w:w="2268"/>
          </w:tcPr>
          <w:p>
            <w:r>
              <w:rPr>
                <w:rFonts w:ascii="Times New Roman" w:hAnsi="Times New Roman"/>
                <w:sz w:val="20"/>
              </w:rPr>
              <w:t>Facebook</w:t>
            </w:r>
          </w:p>
        </w:tc>
        <w:tc>
          <w:tcPr>
            <w:tcW w:type="dxa" w:w="2268"/>
          </w:tcPr>
          <w:p>
            <w:r>
              <w:rPr>
                <w:rFonts w:ascii="Times New Roman" w:hAnsi="Times New Roman"/>
                <w:sz w:val="20"/>
              </w:rPr>
              <w:t>25.04.2023</w:t>
            </w:r>
          </w:p>
        </w:tc>
      </w:tr>
      <w:tr>
        <w:tc>
          <w:tcPr>
            <w:tcW w:type="dxa" w:w="2268"/>
          </w:tcPr>
          <w:p>
            <w:r>
              <w:rPr>
                <w:rFonts w:ascii="Times New Roman" w:hAnsi="Times New Roman"/>
                <w:sz w:val="20"/>
              </w:rPr>
              <w:t>3</w:t>
            </w:r>
          </w:p>
        </w:tc>
        <w:tc>
          <w:tcPr>
            <w:tcW w:type="dxa" w:w="2268"/>
          </w:tcPr>
          <w:p>
            <w:r>
              <w:rPr>
                <w:rFonts w:ascii="Times New Roman" w:hAnsi="Times New Roman"/>
                <w:sz w:val="20"/>
              </w:rPr>
              <w:t>Meta Platforms Inc.</w:t>
            </w:r>
          </w:p>
        </w:tc>
        <w:tc>
          <w:tcPr>
            <w:tcW w:type="dxa" w:w="2268"/>
          </w:tcPr>
          <w:p>
            <w:r>
              <w:rPr>
                <w:rFonts w:ascii="Times New Roman" w:hAnsi="Times New Roman"/>
                <w:sz w:val="20"/>
              </w:rPr>
              <w:t>Instagram</w:t>
            </w:r>
          </w:p>
        </w:tc>
        <w:tc>
          <w:tcPr>
            <w:tcW w:type="dxa" w:w="2268"/>
          </w:tcPr>
          <w:p>
            <w:r>
              <w:rPr>
                <w:rFonts w:ascii="Times New Roman" w:hAnsi="Times New Roman"/>
                <w:sz w:val="20"/>
              </w:rPr>
              <w:t>25.04.2023</w:t>
            </w:r>
          </w:p>
        </w:tc>
      </w:tr>
      <w:tr>
        <w:tc>
          <w:tcPr>
            <w:tcW w:type="dxa" w:w="2268"/>
          </w:tcPr>
          <w:p>
            <w:r>
              <w:rPr>
                <w:rFonts w:ascii="Times New Roman" w:hAnsi="Times New Roman"/>
                <w:sz w:val="20"/>
              </w:rPr>
              <w:t>4</w:t>
            </w:r>
          </w:p>
        </w:tc>
        <w:tc>
          <w:tcPr>
            <w:tcW w:type="dxa" w:w="2268"/>
          </w:tcPr>
          <w:p>
            <w:r>
              <w:rPr>
                <w:rFonts w:ascii="Times New Roman" w:hAnsi="Times New Roman"/>
                <w:sz w:val="20"/>
              </w:rPr>
              <w:t>TikTok Pte Ltd</w:t>
            </w:r>
          </w:p>
        </w:tc>
        <w:tc>
          <w:tcPr>
            <w:tcW w:type="dxa" w:w="2268"/>
          </w:tcPr>
          <w:p>
            <w:r>
              <w:rPr>
                <w:rFonts w:ascii="Times New Roman" w:hAnsi="Times New Roman"/>
                <w:sz w:val="20"/>
              </w:rPr>
              <w:t>TikTok</w:t>
            </w:r>
          </w:p>
        </w:tc>
        <w:tc>
          <w:tcPr>
            <w:tcW w:type="dxa" w:w="2268"/>
          </w:tcPr>
          <w:p>
            <w:r>
              <w:rPr>
                <w:rFonts w:ascii="Times New Roman" w:hAnsi="Times New Roman"/>
                <w:sz w:val="20"/>
              </w:rPr>
              <w:t>25.04.2023</w:t>
            </w:r>
          </w:p>
        </w:tc>
      </w:tr>
      <w:tr>
        <w:tc>
          <w:tcPr>
            <w:tcW w:type="dxa" w:w="2268"/>
          </w:tcPr>
          <w:p>
            <w:r>
              <w:rPr>
                <w:rFonts w:ascii="Times New Roman" w:hAnsi="Times New Roman"/>
                <w:sz w:val="20"/>
              </w:rPr>
              <w:t>5</w:t>
            </w:r>
          </w:p>
        </w:tc>
        <w:tc>
          <w:tcPr>
            <w:tcW w:type="dxa" w:w="2268"/>
          </w:tcPr>
          <w:p>
            <w:r>
              <w:rPr>
                <w:rFonts w:ascii="Times New Roman" w:hAnsi="Times New Roman"/>
                <w:sz w:val="20"/>
              </w:rPr>
              <w:t>Twitter International Unlimited Company</w:t>
            </w:r>
          </w:p>
        </w:tc>
        <w:tc>
          <w:tcPr>
            <w:tcW w:type="dxa" w:w="2268"/>
          </w:tcPr>
          <w:p>
            <w:r>
              <w:rPr>
                <w:rFonts w:ascii="Times New Roman" w:hAnsi="Times New Roman"/>
                <w:sz w:val="20"/>
              </w:rPr>
              <w:t>X (Twitter)</w:t>
            </w:r>
          </w:p>
        </w:tc>
        <w:tc>
          <w:tcPr>
            <w:tcW w:type="dxa" w:w="2268"/>
          </w:tcPr>
          <w:p>
            <w:r>
              <w:rPr>
                <w:rFonts w:ascii="Times New Roman" w:hAnsi="Times New Roman"/>
                <w:sz w:val="20"/>
              </w:rPr>
              <w:t>25.04.2023</w:t>
            </w:r>
          </w:p>
        </w:tc>
      </w:tr>
      <w:tr>
        <w:tc>
          <w:tcPr>
            <w:tcW w:type="dxa" w:w="2268"/>
          </w:tcPr>
          <w:p>
            <w:r>
              <w:rPr>
                <w:rFonts w:ascii="Times New Roman" w:hAnsi="Times New Roman"/>
                <w:sz w:val="20"/>
              </w:rPr>
              <w:t>6</w:t>
            </w:r>
          </w:p>
        </w:tc>
        <w:tc>
          <w:tcPr>
            <w:tcW w:type="dxa" w:w="2268"/>
          </w:tcPr>
          <w:p>
            <w:r>
              <w:rPr>
                <w:rFonts w:ascii="Times New Roman" w:hAnsi="Times New Roman"/>
                <w:sz w:val="20"/>
              </w:rPr>
              <w:t>LinkedIn Ireland Unlimited</w:t>
            </w:r>
          </w:p>
        </w:tc>
        <w:tc>
          <w:tcPr>
            <w:tcW w:type="dxa" w:w="2268"/>
          </w:tcPr>
          <w:p>
            <w:r>
              <w:rPr>
                <w:rFonts w:ascii="Times New Roman" w:hAnsi="Times New Roman"/>
                <w:sz w:val="20"/>
              </w:rPr>
              <w:t>LinkedIn</w:t>
            </w:r>
          </w:p>
        </w:tc>
        <w:tc>
          <w:tcPr>
            <w:tcW w:type="dxa" w:w="2268"/>
          </w:tcPr>
          <w:p>
            <w:r>
              <w:rPr>
                <w:rFonts w:ascii="Times New Roman" w:hAnsi="Times New Roman"/>
                <w:sz w:val="20"/>
              </w:rPr>
              <w:t>25.04.2023</w:t>
            </w:r>
          </w:p>
        </w:tc>
      </w:tr>
      <w:tr>
        <w:tc>
          <w:tcPr>
            <w:tcW w:type="dxa" w:w="2268"/>
          </w:tcPr>
          <w:p>
            <w:r>
              <w:rPr>
                <w:rFonts w:ascii="Times New Roman" w:hAnsi="Times New Roman"/>
                <w:sz w:val="20"/>
              </w:rPr>
              <w:t>7</w:t>
            </w:r>
          </w:p>
        </w:tc>
        <w:tc>
          <w:tcPr>
            <w:tcW w:type="dxa" w:w="2268"/>
          </w:tcPr>
          <w:p>
            <w:r>
              <w:rPr>
                <w:rFonts w:ascii="Times New Roman" w:hAnsi="Times New Roman"/>
                <w:sz w:val="20"/>
              </w:rPr>
              <w:t>Snap Inc.</w:t>
            </w:r>
          </w:p>
        </w:tc>
        <w:tc>
          <w:tcPr>
            <w:tcW w:type="dxa" w:w="2268"/>
          </w:tcPr>
          <w:p>
            <w:r>
              <w:rPr>
                <w:rFonts w:ascii="Times New Roman" w:hAnsi="Times New Roman"/>
                <w:sz w:val="20"/>
              </w:rPr>
              <w:t>Snapchat</w:t>
            </w:r>
          </w:p>
        </w:tc>
        <w:tc>
          <w:tcPr>
            <w:tcW w:type="dxa" w:w="2268"/>
          </w:tcPr>
          <w:p>
            <w:r>
              <w:rPr>
                <w:rFonts w:ascii="Times New Roman" w:hAnsi="Times New Roman"/>
                <w:sz w:val="20"/>
              </w:rPr>
              <w:t>25.04.2023</w:t>
            </w:r>
          </w:p>
        </w:tc>
      </w:tr>
      <w:tr>
        <w:tc>
          <w:tcPr>
            <w:tcW w:type="dxa" w:w="2268"/>
          </w:tcPr>
          <w:p>
            <w:r>
              <w:rPr>
                <w:rFonts w:ascii="Times New Roman" w:hAnsi="Times New Roman"/>
                <w:sz w:val="20"/>
              </w:rPr>
              <w:t>8</w:t>
            </w:r>
          </w:p>
        </w:tc>
        <w:tc>
          <w:tcPr>
            <w:tcW w:type="dxa" w:w="2268"/>
          </w:tcPr>
          <w:p>
            <w:r>
              <w:rPr>
                <w:rFonts w:ascii="Times New Roman" w:hAnsi="Times New Roman"/>
                <w:sz w:val="20"/>
              </w:rPr>
              <w:t>Pinterest Inc.</w:t>
            </w:r>
          </w:p>
        </w:tc>
        <w:tc>
          <w:tcPr>
            <w:tcW w:type="dxa" w:w="2268"/>
          </w:tcPr>
          <w:p>
            <w:r>
              <w:rPr>
                <w:rFonts w:ascii="Times New Roman" w:hAnsi="Times New Roman"/>
                <w:sz w:val="20"/>
              </w:rPr>
              <w:t>Pinterest</w:t>
            </w:r>
          </w:p>
        </w:tc>
        <w:tc>
          <w:tcPr>
            <w:tcW w:type="dxa" w:w="2268"/>
          </w:tcPr>
          <w:p>
            <w:r>
              <w:rPr>
                <w:rFonts w:ascii="Times New Roman" w:hAnsi="Times New Roman"/>
                <w:sz w:val="20"/>
              </w:rPr>
              <w:t>25.04.2023</w:t>
            </w:r>
          </w:p>
        </w:tc>
      </w:tr>
      <w:tr>
        <w:tc>
          <w:tcPr>
            <w:tcW w:type="dxa" w:w="2268"/>
          </w:tcPr>
          <w:p>
            <w:r>
              <w:rPr>
                <w:rFonts w:ascii="Times New Roman" w:hAnsi="Times New Roman"/>
                <w:sz w:val="20"/>
              </w:rPr>
              <w:t>9</w:t>
            </w:r>
          </w:p>
        </w:tc>
        <w:tc>
          <w:tcPr>
            <w:tcW w:type="dxa" w:w="2268"/>
          </w:tcPr>
          <w:p>
            <w:r>
              <w:rPr>
                <w:rFonts w:ascii="Times New Roman" w:hAnsi="Times New Roman"/>
                <w:sz w:val="20"/>
              </w:rPr>
              <w:t>Booking.com B.V.</w:t>
            </w:r>
          </w:p>
        </w:tc>
        <w:tc>
          <w:tcPr>
            <w:tcW w:type="dxa" w:w="2268"/>
          </w:tcPr>
          <w:p>
            <w:r>
              <w:rPr>
                <w:rFonts w:ascii="Times New Roman" w:hAnsi="Times New Roman"/>
                <w:sz w:val="20"/>
              </w:rPr>
              <w:t>Booking.com</w:t>
            </w:r>
          </w:p>
        </w:tc>
        <w:tc>
          <w:tcPr>
            <w:tcW w:type="dxa" w:w="2268"/>
          </w:tcPr>
          <w:p>
            <w:r>
              <w:rPr>
                <w:rFonts w:ascii="Times New Roman" w:hAnsi="Times New Roman"/>
                <w:sz w:val="20"/>
              </w:rPr>
              <w:t>25.04.2023</w:t>
            </w:r>
          </w:p>
        </w:tc>
      </w:tr>
      <w:tr>
        <w:tc>
          <w:tcPr>
            <w:tcW w:type="dxa" w:w="2268"/>
          </w:tcPr>
          <w:p>
            <w:r>
              <w:rPr>
                <w:rFonts w:ascii="Times New Roman" w:hAnsi="Times New Roman"/>
                <w:sz w:val="20"/>
              </w:rPr>
              <w:t>10</w:t>
            </w:r>
          </w:p>
        </w:tc>
        <w:tc>
          <w:tcPr>
            <w:tcW w:type="dxa" w:w="2268"/>
          </w:tcPr>
          <w:p>
            <w:r>
              <w:rPr>
                <w:rFonts w:ascii="Times New Roman" w:hAnsi="Times New Roman"/>
                <w:sz w:val="20"/>
              </w:rPr>
              <w:t>Amazon.com Inc.</w:t>
            </w:r>
          </w:p>
        </w:tc>
        <w:tc>
          <w:tcPr>
            <w:tcW w:type="dxa" w:w="2268"/>
          </w:tcPr>
          <w:p>
            <w:r>
              <w:rPr>
                <w:rFonts w:ascii="Times New Roman" w:hAnsi="Times New Roman"/>
                <w:sz w:val="20"/>
              </w:rPr>
              <w:t>Amazon Store</w:t>
            </w:r>
          </w:p>
        </w:tc>
        <w:tc>
          <w:tcPr>
            <w:tcW w:type="dxa" w:w="2268"/>
          </w:tcPr>
          <w:p>
            <w:r>
              <w:rPr>
                <w:rFonts w:ascii="Times New Roman" w:hAnsi="Times New Roman"/>
                <w:sz w:val="20"/>
              </w:rPr>
              <w:t>25.04.2023</w:t>
            </w:r>
          </w:p>
        </w:tc>
      </w:tr>
      <w:tr>
        <w:tc>
          <w:tcPr>
            <w:tcW w:type="dxa" w:w="2268"/>
          </w:tcPr>
          <w:p>
            <w:r>
              <w:rPr>
                <w:rFonts w:ascii="Times New Roman" w:hAnsi="Times New Roman"/>
                <w:sz w:val="20"/>
              </w:rPr>
              <w:t>11</w:t>
            </w:r>
          </w:p>
        </w:tc>
        <w:tc>
          <w:tcPr>
            <w:tcW w:type="dxa" w:w="2268"/>
          </w:tcPr>
          <w:p>
            <w:r>
              <w:rPr>
                <w:rFonts w:ascii="Times New Roman" w:hAnsi="Times New Roman"/>
                <w:sz w:val="20"/>
              </w:rPr>
              <w:t>Apple Inc.</w:t>
            </w:r>
          </w:p>
        </w:tc>
        <w:tc>
          <w:tcPr>
            <w:tcW w:type="dxa" w:w="2268"/>
          </w:tcPr>
          <w:p>
            <w:r>
              <w:rPr>
                <w:rFonts w:ascii="Times New Roman" w:hAnsi="Times New Roman"/>
                <w:sz w:val="20"/>
              </w:rPr>
              <w:t>App Store</w:t>
            </w:r>
          </w:p>
        </w:tc>
        <w:tc>
          <w:tcPr>
            <w:tcW w:type="dxa" w:w="2268"/>
          </w:tcPr>
          <w:p>
            <w:r>
              <w:rPr>
                <w:rFonts w:ascii="Times New Roman" w:hAnsi="Times New Roman"/>
                <w:sz w:val="20"/>
              </w:rPr>
              <w:t>25.04.2023</w:t>
            </w:r>
          </w:p>
        </w:tc>
      </w:tr>
      <w:tr>
        <w:tc>
          <w:tcPr>
            <w:tcW w:type="dxa" w:w="2268"/>
          </w:tcPr>
          <w:p>
            <w:r>
              <w:rPr>
                <w:rFonts w:ascii="Times New Roman" w:hAnsi="Times New Roman"/>
                <w:sz w:val="20"/>
              </w:rPr>
              <w:t>12</w:t>
            </w:r>
          </w:p>
        </w:tc>
        <w:tc>
          <w:tcPr>
            <w:tcW w:type="dxa" w:w="2268"/>
          </w:tcPr>
          <w:p>
            <w:r>
              <w:rPr>
                <w:rFonts w:ascii="Times New Roman" w:hAnsi="Times New Roman"/>
                <w:sz w:val="20"/>
              </w:rPr>
              <w:t>Wikimedia Foundation Inc.</w:t>
            </w:r>
          </w:p>
        </w:tc>
        <w:tc>
          <w:tcPr>
            <w:tcW w:type="dxa" w:w="2268"/>
          </w:tcPr>
          <w:p>
            <w:r>
              <w:rPr>
                <w:rFonts w:ascii="Times New Roman" w:hAnsi="Times New Roman"/>
                <w:sz w:val="20"/>
              </w:rPr>
              <w:t>Wikipedia</w:t>
            </w:r>
          </w:p>
        </w:tc>
        <w:tc>
          <w:tcPr>
            <w:tcW w:type="dxa" w:w="2268"/>
          </w:tcPr>
          <w:p>
            <w:r>
              <w:rPr>
                <w:rFonts w:ascii="Times New Roman" w:hAnsi="Times New Roman"/>
                <w:sz w:val="20"/>
              </w:rPr>
              <w:t>25.04.2023</w:t>
            </w:r>
          </w:p>
        </w:tc>
      </w:tr>
      <w:tr>
        <w:tc>
          <w:tcPr>
            <w:tcW w:type="dxa" w:w="2268"/>
          </w:tcPr>
          <w:p>
            <w:r>
              <w:rPr>
                <w:rFonts w:ascii="Times New Roman" w:hAnsi="Times New Roman"/>
                <w:sz w:val="20"/>
              </w:rPr>
              <w:t>13</w:t>
            </w:r>
          </w:p>
        </w:tc>
        <w:tc>
          <w:tcPr>
            <w:tcW w:type="dxa" w:w="2268"/>
          </w:tcPr>
          <w:p>
            <w:r>
              <w:rPr>
                <w:rFonts w:ascii="Times New Roman" w:hAnsi="Times New Roman"/>
                <w:sz w:val="20"/>
              </w:rPr>
              <w:t>Zalando SE</w:t>
            </w:r>
          </w:p>
        </w:tc>
        <w:tc>
          <w:tcPr>
            <w:tcW w:type="dxa" w:w="2268"/>
          </w:tcPr>
          <w:p>
            <w:r>
              <w:rPr>
                <w:rFonts w:ascii="Times New Roman" w:hAnsi="Times New Roman"/>
                <w:sz w:val="20"/>
              </w:rPr>
              <w:t>Zalando</w:t>
            </w:r>
          </w:p>
        </w:tc>
        <w:tc>
          <w:tcPr>
            <w:tcW w:type="dxa" w:w="2268"/>
          </w:tcPr>
          <w:p>
            <w:r>
              <w:rPr>
                <w:rFonts w:ascii="Times New Roman" w:hAnsi="Times New Roman"/>
                <w:sz w:val="20"/>
              </w:rPr>
              <w:t>25.04.2023</w:t>
            </w:r>
          </w:p>
        </w:tc>
      </w:tr>
      <w:tr>
        <w:tc>
          <w:tcPr>
            <w:tcW w:type="dxa" w:w="2268"/>
          </w:tcPr>
          <w:p>
            <w:r>
              <w:rPr>
                <w:rFonts w:ascii="Times New Roman" w:hAnsi="Times New Roman"/>
                <w:sz w:val="20"/>
              </w:rPr>
              <w:t>14</w:t>
            </w:r>
          </w:p>
        </w:tc>
        <w:tc>
          <w:tcPr>
            <w:tcW w:type="dxa" w:w="2268"/>
          </w:tcPr>
          <w:p>
            <w:r>
              <w:rPr>
                <w:rFonts w:ascii="Times New Roman" w:hAnsi="Times New Roman"/>
                <w:sz w:val="20"/>
              </w:rPr>
              <w:t>AliExpress (Cainiao Smart)</w:t>
            </w:r>
          </w:p>
        </w:tc>
        <w:tc>
          <w:tcPr>
            <w:tcW w:type="dxa" w:w="2268"/>
          </w:tcPr>
          <w:p>
            <w:r>
              <w:rPr>
                <w:rFonts w:ascii="Times New Roman" w:hAnsi="Times New Roman"/>
                <w:sz w:val="20"/>
              </w:rPr>
              <w:t>AliExpress</w:t>
            </w:r>
          </w:p>
        </w:tc>
        <w:tc>
          <w:tcPr>
            <w:tcW w:type="dxa" w:w="2268"/>
          </w:tcPr>
          <w:p>
            <w:r>
              <w:rPr>
                <w:rFonts w:ascii="Times New Roman" w:hAnsi="Times New Roman"/>
                <w:sz w:val="20"/>
              </w:rPr>
              <w:t>25.04.2023</w:t>
            </w:r>
          </w:p>
        </w:tc>
      </w:tr>
      <w:tr>
        <w:tc>
          <w:tcPr>
            <w:tcW w:type="dxa" w:w="2268"/>
          </w:tcPr>
          <w:p>
            <w:r>
              <w:rPr>
                <w:rFonts w:ascii="Times New Roman" w:hAnsi="Times New Roman"/>
                <w:sz w:val="20"/>
              </w:rPr>
              <w:t>15</w:t>
            </w:r>
          </w:p>
        </w:tc>
        <w:tc>
          <w:tcPr>
            <w:tcW w:type="dxa" w:w="2268"/>
          </w:tcPr>
          <w:p>
            <w:r>
              <w:rPr>
                <w:rFonts w:ascii="Times New Roman" w:hAnsi="Times New Roman"/>
                <w:sz w:val="20"/>
              </w:rPr>
              <w:t>Temu (PDD Holdings)</w:t>
            </w:r>
          </w:p>
        </w:tc>
        <w:tc>
          <w:tcPr>
            <w:tcW w:type="dxa" w:w="2268"/>
          </w:tcPr>
          <w:p>
            <w:r>
              <w:rPr>
                <w:rFonts w:ascii="Times New Roman" w:hAnsi="Times New Roman"/>
                <w:sz w:val="20"/>
              </w:rPr>
              <w:t>Temu</w:t>
            </w:r>
          </w:p>
        </w:tc>
        <w:tc>
          <w:tcPr>
            <w:tcW w:type="dxa" w:w="2268"/>
          </w:tcPr>
          <w:p>
            <w:r>
              <w:rPr>
                <w:rFonts w:ascii="Times New Roman" w:hAnsi="Times New Roman"/>
                <w:sz w:val="20"/>
              </w:rPr>
              <w:t>25.04.2023</w:t>
            </w:r>
          </w:p>
        </w:tc>
      </w:tr>
      <w:tr>
        <w:tc>
          <w:tcPr>
            <w:tcW w:type="dxa" w:w="2268"/>
          </w:tcPr>
          <w:p>
            <w:r>
              <w:rPr>
                <w:rFonts w:ascii="Times New Roman" w:hAnsi="Times New Roman"/>
                <w:sz w:val="20"/>
              </w:rPr>
              <w:t>16</w:t>
            </w:r>
          </w:p>
        </w:tc>
        <w:tc>
          <w:tcPr>
            <w:tcW w:type="dxa" w:w="2268"/>
          </w:tcPr>
          <w:p>
            <w:r>
              <w:rPr>
                <w:rFonts w:ascii="Times New Roman" w:hAnsi="Times New Roman"/>
                <w:sz w:val="20"/>
              </w:rPr>
              <w:t>Shein</w:t>
            </w:r>
          </w:p>
        </w:tc>
        <w:tc>
          <w:tcPr>
            <w:tcW w:type="dxa" w:w="2268"/>
          </w:tcPr>
          <w:p>
            <w:r>
              <w:rPr>
                <w:rFonts w:ascii="Times New Roman" w:hAnsi="Times New Roman"/>
                <w:sz w:val="20"/>
              </w:rPr>
              <w:t>Shein</w:t>
            </w:r>
          </w:p>
        </w:tc>
        <w:tc>
          <w:tcPr>
            <w:tcW w:type="dxa" w:w="2268"/>
          </w:tcPr>
          <w:p>
            <w:r>
              <w:rPr>
                <w:rFonts w:ascii="Times New Roman" w:hAnsi="Times New Roman"/>
                <w:sz w:val="20"/>
              </w:rPr>
              <w:t>25.04.2023</w:t>
            </w:r>
          </w:p>
        </w:tc>
      </w:tr>
      <w:tr>
        <w:tc>
          <w:tcPr>
            <w:tcW w:type="dxa" w:w="2268"/>
          </w:tcPr>
          <w:p>
            <w:r>
              <w:rPr>
                <w:rFonts w:ascii="Times New Roman" w:hAnsi="Times New Roman"/>
                <w:sz w:val="20"/>
              </w:rPr>
              <w:t>17</w:t>
            </w:r>
          </w:p>
        </w:tc>
        <w:tc>
          <w:tcPr>
            <w:tcW w:type="dxa" w:w="2268"/>
          </w:tcPr>
          <w:p>
            <w:r>
              <w:rPr>
                <w:rFonts w:ascii="Times New Roman" w:hAnsi="Times New Roman"/>
                <w:sz w:val="20"/>
              </w:rPr>
              <w:t>Pornhub MG Freesites Ltd</w:t>
            </w:r>
          </w:p>
        </w:tc>
        <w:tc>
          <w:tcPr>
            <w:tcW w:type="dxa" w:w="2268"/>
          </w:tcPr>
          <w:p>
            <w:r>
              <w:rPr>
                <w:rFonts w:ascii="Times New Roman" w:hAnsi="Times New Roman"/>
                <w:sz w:val="20"/>
              </w:rPr>
              <w:t>Pornhub</w:t>
            </w:r>
          </w:p>
        </w:tc>
        <w:tc>
          <w:tcPr>
            <w:tcW w:type="dxa" w:w="2268"/>
          </w:tcPr>
          <w:p>
            <w:r>
              <w:rPr>
                <w:rFonts w:ascii="Times New Roman" w:hAnsi="Times New Roman"/>
                <w:sz w:val="20"/>
              </w:rPr>
              <w:t>Q4/2025</w:t>
            </w:r>
          </w:p>
        </w:tc>
      </w:tr>
      <w:tr>
        <w:tc>
          <w:tcPr>
            <w:tcW w:type="dxa" w:w="2268"/>
          </w:tcPr>
          <w:p>
            <w:r>
              <w:rPr>
                <w:rFonts w:ascii="Times New Roman" w:hAnsi="Times New Roman"/>
                <w:sz w:val="20"/>
              </w:rPr>
              <w:t>18</w:t>
            </w:r>
          </w:p>
        </w:tc>
        <w:tc>
          <w:tcPr>
            <w:tcW w:type="dxa" w:w="2268"/>
          </w:tcPr>
          <w:p>
            <w:r>
              <w:rPr>
                <w:rFonts w:ascii="Times New Roman" w:hAnsi="Times New Roman"/>
                <w:sz w:val="20"/>
              </w:rPr>
              <w:t>Stripchat</w:t>
            </w:r>
          </w:p>
        </w:tc>
        <w:tc>
          <w:tcPr>
            <w:tcW w:type="dxa" w:w="2268"/>
          </w:tcPr>
          <w:p>
            <w:r>
              <w:rPr>
                <w:rFonts w:ascii="Times New Roman" w:hAnsi="Times New Roman"/>
                <w:sz w:val="20"/>
              </w:rPr>
              <w:t>Stripchat</w:t>
            </w:r>
          </w:p>
        </w:tc>
        <w:tc>
          <w:tcPr>
            <w:tcW w:type="dxa" w:w="2268"/>
          </w:tcPr>
          <w:p>
            <w:r>
              <w:rPr>
                <w:rFonts w:ascii="Times New Roman" w:hAnsi="Times New Roman"/>
                <w:sz w:val="20"/>
              </w:rPr>
              <w:t>Q4/2025</w:t>
            </w:r>
          </w:p>
        </w:tc>
      </w:tr>
      <w:tr>
        <w:tc>
          <w:tcPr>
            <w:tcW w:type="dxa" w:w="2268"/>
          </w:tcPr>
          <w:p>
            <w:r>
              <w:rPr>
                <w:rFonts w:ascii="Times New Roman" w:hAnsi="Times New Roman"/>
                <w:sz w:val="20"/>
              </w:rPr>
              <w:t>19</w:t>
            </w:r>
          </w:p>
        </w:tc>
        <w:tc>
          <w:tcPr>
            <w:tcW w:type="dxa" w:w="2268"/>
          </w:tcPr>
          <w:p>
            <w:r>
              <w:rPr>
                <w:rFonts w:ascii="Times New Roman" w:hAnsi="Times New Roman"/>
                <w:sz w:val="20"/>
              </w:rPr>
              <w:t>XVideos</w:t>
            </w:r>
          </w:p>
        </w:tc>
        <w:tc>
          <w:tcPr>
            <w:tcW w:type="dxa" w:w="2268"/>
          </w:tcPr>
          <w:p>
            <w:r>
              <w:rPr>
                <w:rFonts w:ascii="Times New Roman" w:hAnsi="Times New Roman"/>
                <w:sz w:val="20"/>
              </w:rPr>
              <w:t>XVideos</w:t>
            </w:r>
          </w:p>
        </w:tc>
        <w:tc>
          <w:tcPr>
            <w:tcW w:type="dxa" w:w="2268"/>
          </w:tcPr>
          <w:p>
            <w:r>
              <w:rPr>
                <w:rFonts w:ascii="Times New Roman" w:hAnsi="Times New Roman"/>
                <w:sz w:val="20"/>
              </w:rPr>
              <w:t>Q4/2025</w:t>
            </w:r>
          </w:p>
        </w:tc>
      </w:tr>
    </w:tbl>
    <w:p>
      <w:pPr>
        <w:pStyle w:val="Heading3"/>
      </w:pPr>
      <w:r>
        <w:rPr>
          <w:rFonts w:ascii="Times New Roman" w:hAnsi="Times New Roman"/>
        </w:rPr>
        <w:t>Sehr große Online-Suchmaschinen (VLOSEs)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Anbieter</w:t>
            </w:r>
          </w:p>
        </w:tc>
        <w:tc>
          <w:tcPr>
            <w:tcW w:type="dxa" w:w="2268"/>
          </w:tcPr>
          <w:p>
            <w:r>
              <w:rPr>
                <w:rFonts w:ascii="Times New Roman" w:hAnsi="Times New Roman"/>
                <w:b/>
                <w:sz w:val="20"/>
              </w:rPr>
              <w:t>Dienst</w:t>
            </w:r>
          </w:p>
        </w:tc>
        <w:tc>
          <w:tcPr>
            <w:tcW w:type="dxa" w:w="2268"/>
          </w:tcPr>
          <w:p>
            <w:r>
              <w:rPr>
                <w:rFonts w:ascii="Times New Roman" w:hAnsi="Times New Roman"/>
                <w:b/>
                <w:sz w:val="20"/>
              </w:rPr>
              <w:t>Benennung</w:t>
            </w:r>
          </w:p>
        </w:tc>
      </w:tr>
      <w:tr>
        <w:tc>
          <w:tcPr>
            <w:tcW w:type="dxa" w:w="2268"/>
          </w:tcPr>
          <w:p>
            <w:r>
              <w:rPr>
                <w:rFonts w:ascii="Times New Roman" w:hAnsi="Times New Roman"/>
                <w:sz w:val="20"/>
              </w:rPr>
              <w:t>1</w:t>
            </w:r>
          </w:p>
        </w:tc>
        <w:tc>
          <w:tcPr>
            <w:tcW w:type="dxa" w:w="2268"/>
          </w:tcPr>
          <w:p>
            <w:r>
              <w:rPr>
                <w:rFonts w:ascii="Times New Roman" w:hAnsi="Times New Roman"/>
                <w:sz w:val="20"/>
              </w:rPr>
              <w:t>Alphabet Inc.</w:t>
            </w:r>
          </w:p>
        </w:tc>
        <w:tc>
          <w:tcPr>
            <w:tcW w:type="dxa" w:w="2268"/>
          </w:tcPr>
          <w:p>
            <w:r>
              <w:rPr>
                <w:rFonts w:ascii="Times New Roman" w:hAnsi="Times New Roman"/>
                <w:sz w:val="20"/>
              </w:rPr>
              <w:t>Google Search</w:t>
            </w:r>
          </w:p>
        </w:tc>
        <w:tc>
          <w:tcPr>
            <w:tcW w:type="dxa" w:w="2268"/>
          </w:tcPr>
          <w:p>
            <w:r>
              <w:rPr>
                <w:rFonts w:ascii="Times New Roman" w:hAnsi="Times New Roman"/>
                <w:sz w:val="20"/>
              </w:rPr>
              <w:t>25.04.2023</w:t>
            </w:r>
          </w:p>
        </w:tc>
      </w:tr>
      <w:tr>
        <w:tc>
          <w:tcPr>
            <w:tcW w:type="dxa" w:w="2268"/>
          </w:tcPr>
          <w:p>
            <w:r>
              <w:rPr>
                <w:rFonts w:ascii="Times New Roman" w:hAnsi="Times New Roman"/>
                <w:sz w:val="20"/>
              </w:rPr>
              <w:t>2</w:t>
            </w:r>
          </w:p>
        </w:tc>
        <w:tc>
          <w:tcPr>
            <w:tcW w:type="dxa" w:w="2268"/>
          </w:tcPr>
          <w:p>
            <w:r>
              <w:rPr>
                <w:rFonts w:ascii="Times New Roman" w:hAnsi="Times New Roman"/>
                <w:sz w:val="20"/>
              </w:rPr>
              <w:t>Microsoft Corp.</w:t>
            </w:r>
          </w:p>
        </w:tc>
        <w:tc>
          <w:tcPr>
            <w:tcW w:type="dxa" w:w="2268"/>
          </w:tcPr>
          <w:p>
            <w:r>
              <w:rPr>
                <w:rFonts w:ascii="Times New Roman" w:hAnsi="Times New Roman"/>
                <w:sz w:val="20"/>
              </w:rPr>
              <w:t>Bing</w:t>
            </w:r>
          </w:p>
        </w:tc>
        <w:tc>
          <w:tcPr>
            <w:tcW w:type="dxa" w:w="2268"/>
          </w:tcPr>
          <w:p>
            <w:r>
              <w:rPr>
                <w:rFonts w:ascii="Times New Roman" w:hAnsi="Times New Roman"/>
                <w:sz w:val="20"/>
              </w:rPr>
              <w:t>25.04.2023</w:t>
            </w:r>
          </w:p>
        </w:tc>
      </w:tr>
    </w:tbl>
    <w:p/>
    <w:p>
      <w:pPr>
        <w:pStyle w:val="Heading2"/>
      </w:pPr>
      <w:r>
        <w:rPr>
          <w:rFonts w:ascii="Times New Roman" w:hAnsi="Times New Roman"/>
        </w:rPr>
        <w:t>Konsequenz für den Pflichtpostfach-Entwurf</w:t>
      </w:r>
    </w:p>
    <w:p>
      <w:pPr>
        <w:pStyle w:val="Heading3"/>
      </w:pPr>
      <w:r>
        <w:rPr>
          <w:rFonts w:ascii="Times New Roman" w:hAnsi="Times New Roman"/>
        </w:rPr>
        <w:t>1. Verbot von Goldplating</w:t>
      </w:r>
    </w:p>
    <w:p>
      <w:pPr>
        <w:jc w:val="left"/>
      </w:pPr>
      <w:r>
        <w:t xml:space="preserve">Der Entwurf darf die DSA-Schwelle (mindestens 45 Mio. monatlich aktive Nutzer in der Union, festgestellt durch Benennungsbeschluss der Kommission) </w:t>
      </w:r>
      <w:r>
        <w:rPr>
          <w:b/>
        </w:rPr>
        <w:t>nicht eigenständig nationaler Festlegung unterwerfen</w:t>
      </w:r>
      <w:r>
        <w:t>. Eine niedrigere Schwelle wäre Goldplating und mit dem unionsrechtlichen Konzept der Harmonisierung im DSA unvereinbar.</w:t>
      </w:r>
    </w:p>
    <w:p>
      <w:pPr>
        <w:pStyle w:val="Heading3"/>
      </w:pPr>
      <w:r>
        <w:rPr>
          <w:rFonts w:ascii="Times New Roman" w:hAnsi="Times New Roman"/>
        </w:rPr>
        <w:t>2. Direkter Verweis statt eigener Definition</w:t>
      </w:r>
    </w:p>
    <w:p>
      <w:pPr>
        <w:jc w:val="left"/>
      </w:pPr>
      <w:r>
        <w:t>§ 1 Absatz 1 Nummer 2 PflPostG zieht den Anwendungsbereich der DSA-Definition unmittelbar nach. Eine separate nationale Schwelle ("ab einer gewissen Größe") wird vermieden, ebenso ein Bezug auf nationalstaatliche Nutzerzahlen.</w:t>
      </w:r>
    </w:p>
    <w:p>
      <w:pPr>
        <w:pStyle w:val="Heading3"/>
      </w:pPr>
      <w:r>
        <w:rPr>
          <w:rFonts w:ascii="Times New Roman" w:hAnsi="Times New Roman"/>
        </w:rPr>
        <w:t>3. Verzahnung mit DSA-Kontaktstelle Artikel 11</w:t>
      </w:r>
    </w:p>
    <w:p>
      <w:pPr>
        <w:jc w:val="left"/>
      </w:pPr>
      <w:r>
        <w:t xml:space="preserve">Das Pflichtpostfach kann zugleich als Kontaktstelle nach Artikel 11 DSA dienen, soweit es deren Anforderungen erfüllt. Die Anbieter dürfen die beiden Funktionen aber </w:t>
      </w:r>
      <w:r>
        <w:rPr>
          <w:b/>
        </w:rPr>
        <w:t>getrennt</w:t>
      </w:r>
      <w:r>
        <w:t xml:space="preserve"> ausgestalten — z.B. das Pflichtpostfach nur für Zustellungen, eine separate E-Mail-Adresse als Kontaktstelle nach Artikel 11.</w:t>
      </w:r>
    </w:p>
    <w:p>
      <w:pPr>
        <w:pStyle w:val="Heading3"/>
      </w:pPr>
      <w:r>
        <w:rPr>
          <w:rFonts w:ascii="Times New Roman" w:hAnsi="Times New Roman"/>
        </w:rPr>
        <w:t>4. Drittstaaten-Anbieter Artikel 13 DSA</w:t>
      </w:r>
    </w:p>
    <w:p>
      <w:pPr>
        <w:jc w:val="left"/>
      </w:pPr>
      <w:r>
        <w:t>Bei Anbietern mit Hauptsitz in einem Drittstaat ist die Pflicht zum gesetzlichen Vertreter nach Artikel 13 DSA von der Pflicht zum Pflichtpostfach zu unterscheiden. Beide Pflichten bestehen nebeneinander.</w:t>
      </w:r>
    </w:p>
    <w:p>
      <w:pPr>
        <w:pStyle w:val="Heading3"/>
      </w:pPr>
      <w:r>
        <w:rPr>
          <w:rFonts w:ascii="Times New Roman" w:hAnsi="Times New Roman"/>
        </w:rPr>
        <w:t>5. Verhältnis zur DSA-Koordinator-Behörde</w:t>
      </w:r>
    </w:p>
    <w:p>
      <w:pPr>
        <w:jc w:val="left"/>
      </w:pPr>
      <w:r>
        <w:t>Das Bundesamt für Justiz ist (nach dem deutschen Digital-Services-Gesetz) Digital-Services-Koordinator für Deutschland. Es ist auch zuständig für die Bußgeld-Verhängung bei Verstößen gegen PflPostG-Pflichten von VLOP/VLOSE-Anbietern (§ 6 Abs. 3 Nr. 2 PflPostG).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