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Finalcheck</w:t>
      </w:r>
    </w:p>
    <w:p>
      <w:pPr>
        <w:jc w:val="left"/>
      </w:pPr>
      <w:r>
        <w:rPr>
          <w:b/>
        </w:rPr>
        <w:t>Stand:</w:t>
      </w:r>
      <w:r>
        <w:t xml:space="preserve"> 22.05.2026, 16:30 Uhr</w:t>
      </w:r>
    </w:p>
    <w:p>
      <w:pPr>
        <w:jc w:val="left"/>
      </w:pPr>
      <w:r>
        <w:rPr>
          <w:b/>
        </w:rPr>
        <w:t>Bearbeitung:</w:t>
      </w:r>
      <w:r>
        <w:t xml:space="preserve"> Julia Stern, Felix Andresen</w:t>
      </w:r>
    </w:p>
    <w:p>
      <w:pPr>
        <w:jc w:val="left"/>
      </w:pPr>
      <w:r>
        <w:rPr>
          <w:b/>
        </w:rPr>
        <w:t>Nächste Wiedervorlage:</w:t>
      </w:r>
      <w:r>
        <w:t xml:space="preserve"> 25.05.2026 (Plenum) und 02.06.2026 (Anhörungsvorabend)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Lokale Kontakte (Gemeinde, Landkreis, Land) getrennt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Fällt nicht unter § 1 Abs. 4 LobbyRG, weil keine Adressierung an Bundestag/Bundesregierung.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in Schwelle einrechnen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Petition getrennt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2 Abs. 4 Nr. 5 LobbyRG greift für Einreichung und Begründung. Begleitkommunikation Mitte Mai 2026 überschreitet diese Ausnahme wahrscheinlich.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Vermerk Petition vs. Begleitkommunikation aufnehmen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Bundesweite Kampagne ab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Wiederholte und gezielte Kontakte mit Moratoriumsforderung an MdB, BMDV, Fraktion. Mindestens vier qualifizierte Kontakte allein in der Kalenderwoche 20.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Pflichtprüfung jetzt schliessen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Organisationstyp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Netzwerk ohne Rechtsform, aber mit Kernteam, Plenum und Spendenkonto auf Treuhand. Im Register als "sonstige Organisation ohne eigene Rechtspersönlichkeit" abbildbar.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Eintragsentwurf bestätigen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Spenden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Windpark-Spende politisch sensibel und nicht angenommen. Stiftung Niedersachsenmoor (1500 EUR) und Moorschutzverein Nord e.V. (3500 EUR) sind nennenswert; Veroeffentlichungs-Einwilligung "offen". Sammelspenden anonym.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Einwilligung schriftlich einholen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Gutachtenupload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 Pflicht oder freiwilliger Registrierung Q2/2026-Upload prüfen. Versanddatum 12.05.2026 ist registerrelevant.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Termin Q2-Frist setzen (30.09.2026)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Freiwillige vs. Pflichteintragung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Wenn beide Wege gangbar sind, Pflichteintragung wählen, weil die Argumentationslast geringer ist.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Mandantenbeschluss am 25.05.2026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Kodex-Leitfaden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Ist erstellt, Verteilung am 18.05.2026 begonnen.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Schulung am 24.05.2026 durchführen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Statement Anhörung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 liegt vor; Finanzierungs- und Registerangaben harmonisieren.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 Versand 27.05.2026 anwaltliche Schlussfreigabe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Presseanfrage Moorbote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Antwortfrist 20.05.2026 12:00 Uhr; verlängert auf 21.05.2026 12:00 Uhr durch telefonische Bitte.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Antwortentwurf bis 21.05.2026 freigeben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Rückfrage MdB-Büro Reimers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 soll abgestimmt mit Antwortentwurf Presse erfolgen, damit Konsistenz besteht.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 bis 22.05.2026 EOD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Pflegeplan für Eintragung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Rollenmodell muss aufgesetzt sein, bevor eintragen.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Vorlage 26.05.2026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Offene rechtliche Fragen</w:t>
      </w:r>
    </w:p>
    <w:p>
      <w:pPr>
        <w:pStyle w:val="ListNumber"/>
      </w:pPr>
      <w:r>
        <w:t>Gilt die Ausnahme "Petition" auch für Kontakte, die die Petition begleiten, aber gegenüber dem Verkehrsausschuss eigenständig argumentieren? Antwort vorläufig nein.</w:t>
      </w:r>
    </w:p>
    <w:p>
      <w:pPr>
        <w:pStyle w:val="ListNumber"/>
      </w:pPr>
      <w:r>
        <w:t>Wirkt die Ausnahme "Teilnahme an Anhörung auf Einladung" rückwirkend auch für Kontakte, die der Anhörung dienen, aber vor der Einladung stattfanden? Antwort vorläufig nein.</w:t>
      </w:r>
    </w:p>
    <w:p>
      <w:pPr>
        <w:pStyle w:val="ListNumber"/>
      </w:pPr>
      <w:r>
        <w:t>Ist die Initiative trotz fehlender Rechtsform "Organisation" im Sinne des § 1 Abs. 4 LobbyRG? Antwort: ja, weil ein erkennbar handelnder Personenkreis dauerhaft koordiniert auftritt und ein Spendenkonto führt.</w:t>
      </w:r>
    </w:p>
    <w:p>
      <w:pPr>
        <w:pStyle w:val="Heading2"/>
      </w:pPr>
      <w:r>
        <w:rPr>
          <w:rFonts w:ascii="Times New Roman" w:hAnsi="Times New Roman"/>
        </w:rPr>
        <w:t>Ergebnis</w:t>
      </w:r>
    </w:p>
    <w:p>
      <w:pPr>
        <w:jc w:val="left"/>
      </w:pPr>
      <w:r>
        <w:t>Der Finalcheck bleibt orange. Eine Registrierung – ob freiwillig oder pflichtig – ist bis zur Anhörung darstellbar, aber nur mit Rollen- und Fristenmodell.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