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API-Monitoringnotiz: Bürgerinitiative Waldmoor 2030</w:t>
      </w:r>
    </w:p>
    <w:p>
      <w:pPr>
        <w:pStyle w:val="Heading2"/>
      </w:pPr>
      <w:r>
        <w:rPr>
          <w:rFonts w:ascii="Times New Roman" w:hAnsi="Times New Roman"/>
        </w:rPr>
        <w:t>Anlass</w:t>
      </w:r>
    </w:p>
    <w:p>
      <w:pPr>
        <w:jc w:val="left"/>
      </w:pPr>
      <w:r>
        <w:t>Die Initiative ist unsicher, ob sie nach Petition, Anhörung und späterer Bundeskampagne freiwillig oder verpflichtend registriert werden soll. Vor einer freiwilligen Registrierung soll geprüft werden, ob es bereits öffentliche Treffer gibt und ob eine Namensverwechslung mit anderen Waldmoor-Gruppen droht.</w:t>
      </w:r>
    </w:p>
    <w:p>
      <w:pPr>
        <w:jc w:val="left"/>
      </w:pPr>
      <w:r>
        <w:t>Bearbeitung: Luise Barmbek und RAin Julia Stern</w:t>
      </w:r>
    </w:p>
    <w:p>
      <w:pPr>
        <w:jc w:val="left"/>
      </w:pPr>
      <w:r>
        <w:t>Erster API-Test: 20.05.2026</w:t>
      </w:r>
    </w:p>
    <w:p>
      <w:pPr>
        <w:jc w:val="left"/>
      </w:pPr>
      <w:r>
        <w:t>Geplanter zweiter API-Test nach freiwilliger Registrierung: 10.06.2026</w:t>
      </w:r>
    </w:p>
    <w:p>
      <w:pPr>
        <w:pStyle w:val="Heading2"/>
      </w:pPr>
      <w:r>
        <w:rPr>
          <w:rFonts w:ascii="Times New Roman" w:hAnsi="Times New Roman"/>
        </w:rPr>
        <w:t>Suchprofil vor Registrierung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Suchlauf</w:t>
            </w:r>
          </w:p>
        </w:tc>
        <w:tc>
          <w:tcPr>
            <w:tcW w:type="dxa" w:w="2268"/>
          </w:tcPr>
          <w:p>
            <w:r>
              <w:rPr>
                <w:rFonts w:ascii="Times New Roman" w:hAnsi="Times New Roman"/>
                <w:b/>
                <w:sz w:val="20"/>
              </w:rPr>
              <w:t>Suchbegriff</w:t>
            </w:r>
          </w:p>
        </w:tc>
        <w:tc>
          <w:tcPr>
            <w:tcW w:type="dxa" w:w="2268"/>
          </w:tcPr>
          <w:p>
            <w:r>
              <w:rPr>
                <w:rFonts w:ascii="Times New Roman" w:hAnsi="Times New Roman"/>
                <w:b/>
                <w:sz w:val="20"/>
              </w:rPr>
              <w:t>Zweck</w:t>
            </w:r>
          </w:p>
        </w:tc>
        <w:tc>
          <w:tcPr>
            <w:tcW w:type="dxa" w:w="2268"/>
          </w:tcPr>
          <w:p>
            <w:r>
              <w:rPr>
                <w:rFonts w:ascii="Times New Roman" w:hAnsi="Times New Roman"/>
                <w:b/>
                <w:sz w:val="20"/>
              </w:rPr>
              <w:t>Erwartung</w:t>
            </w:r>
          </w:p>
        </w:tc>
      </w:tr>
      <w:tr>
        <w:tc>
          <w:tcPr>
            <w:tcW w:type="dxa" w:w="2268"/>
          </w:tcPr>
          <w:p>
            <w:r>
              <w:rPr>
                <w:rFonts w:ascii="Times New Roman" w:hAnsi="Times New Roman"/>
                <w:sz w:val="20"/>
              </w:rPr>
              <w:t>1</w:t>
            </w:r>
          </w:p>
        </w:tc>
        <w:tc>
          <w:tcPr>
            <w:tcW w:type="dxa" w:w="2268"/>
          </w:tcPr>
          <w:p>
            <w:r>
              <w:rPr>
                <w:rFonts w:ascii="Times New Roman" w:hAnsi="Times New Roman"/>
                <w:sz w:val="20"/>
              </w:rPr>
              <w:t>Bürgerinitiative Waldmoor 2030</w:t>
            </w:r>
          </w:p>
        </w:tc>
        <w:tc>
          <w:tcPr>
            <w:tcW w:type="dxa" w:w="2268"/>
          </w:tcPr>
          <w:p>
            <w:r>
              <w:rPr>
                <w:rFonts w:ascii="Times New Roman" w:hAnsi="Times New Roman"/>
                <w:sz w:val="20"/>
              </w:rPr>
              <w:t>eigener Treffer?</w:t>
            </w:r>
          </w:p>
        </w:tc>
        <w:tc>
          <w:tcPr>
            <w:tcW w:type="dxa" w:w="2268"/>
          </w:tcPr>
          <w:p>
            <w:r>
              <w:rPr>
                <w:rFonts w:ascii="Times New Roman" w:hAnsi="Times New Roman"/>
                <w:sz w:val="20"/>
              </w:rPr>
              <w:t>kein Treffer</w:t>
            </w:r>
          </w:p>
        </w:tc>
      </w:tr>
      <w:tr>
        <w:tc>
          <w:tcPr>
            <w:tcW w:type="dxa" w:w="2268"/>
          </w:tcPr>
          <w:p>
            <w:r>
              <w:rPr>
                <w:rFonts w:ascii="Times New Roman" w:hAnsi="Times New Roman"/>
                <w:sz w:val="20"/>
              </w:rPr>
              <w:t>2</w:t>
            </w:r>
          </w:p>
        </w:tc>
        <w:tc>
          <w:tcPr>
            <w:tcW w:type="dxa" w:w="2268"/>
          </w:tcPr>
          <w:p>
            <w:r>
              <w:rPr>
                <w:rFonts w:ascii="Times New Roman" w:hAnsi="Times New Roman"/>
                <w:sz w:val="20"/>
              </w:rPr>
              <w:t>Waldmoor 2030</w:t>
            </w:r>
          </w:p>
        </w:tc>
        <w:tc>
          <w:tcPr>
            <w:tcW w:type="dxa" w:w="2268"/>
          </w:tcPr>
          <w:p>
            <w:r>
              <w:rPr>
                <w:rFonts w:ascii="Times New Roman" w:hAnsi="Times New Roman"/>
                <w:sz w:val="20"/>
              </w:rPr>
              <w:t>Schreibvarianten und Mediennamen</w:t>
            </w:r>
          </w:p>
        </w:tc>
        <w:tc>
          <w:tcPr>
            <w:tcW w:type="dxa" w:w="2268"/>
          </w:tcPr>
          <w:p>
            <w:r>
              <w:rPr>
                <w:rFonts w:ascii="Times New Roman" w:hAnsi="Times New Roman"/>
                <w:sz w:val="20"/>
              </w:rPr>
              <w:t>kein Lobbyregistertreffer</w:t>
            </w:r>
          </w:p>
        </w:tc>
      </w:tr>
      <w:tr>
        <w:tc>
          <w:tcPr>
            <w:tcW w:type="dxa" w:w="2268"/>
          </w:tcPr>
          <w:p>
            <w:r>
              <w:rPr>
                <w:rFonts w:ascii="Times New Roman" w:hAnsi="Times New Roman"/>
                <w:sz w:val="20"/>
              </w:rPr>
              <w:t>3</w:t>
            </w:r>
          </w:p>
        </w:tc>
        <w:tc>
          <w:tcPr>
            <w:tcW w:type="dxa" w:w="2268"/>
          </w:tcPr>
          <w:p>
            <w:r>
              <w:rPr>
                <w:rFonts w:ascii="Times New Roman" w:hAnsi="Times New Roman"/>
                <w:sz w:val="20"/>
              </w:rPr>
              <w:t>B 449n Moortrasse</w:t>
            </w:r>
          </w:p>
        </w:tc>
        <w:tc>
          <w:tcPr>
            <w:tcW w:type="dxa" w:w="2268"/>
          </w:tcPr>
          <w:p>
            <w:r>
              <w:rPr>
                <w:rFonts w:ascii="Times New Roman" w:hAnsi="Times New Roman"/>
                <w:sz w:val="20"/>
              </w:rPr>
              <w:t>Vorhabenbezug</w:t>
            </w:r>
          </w:p>
        </w:tc>
        <w:tc>
          <w:tcPr>
            <w:tcW w:type="dxa" w:w="2268"/>
          </w:tcPr>
          <w:p>
            <w:r>
              <w:rPr>
                <w:rFonts w:ascii="Times New Roman" w:hAnsi="Times New Roman"/>
                <w:sz w:val="20"/>
              </w:rPr>
              <w:t>kein eigener Registereintrag</w:t>
            </w:r>
          </w:p>
        </w:tc>
      </w:tr>
      <w:tr>
        <w:tc>
          <w:tcPr>
            <w:tcW w:type="dxa" w:w="2268"/>
          </w:tcPr>
          <w:p>
            <w:r>
              <w:rPr>
                <w:rFonts w:ascii="Times New Roman" w:hAnsi="Times New Roman"/>
                <w:sz w:val="20"/>
              </w:rPr>
              <w:t>4</w:t>
            </w:r>
          </w:p>
        </w:tc>
        <w:tc>
          <w:tcPr>
            <w:tcW w:type="dxa" w:w="2268"/>
          </w:tcPr>
          <w:p>
            <w:r>
              <w:rPr>
                <w:rFonts w:ascii="Times New Roman" w:hAnsi="Times New Roman"/>
                <w:sz w:val="20"/>
              </w:rPr>
              <w:t>Moortrasse Moratorium</w:t>
            </w:r>
          </w:p>
        </w:tc>
        <w:tc>
          <w:tcPr>
            <w:tcW w:type="dxa" w:w="2268"/>
          </w:tcPr>
          <w:p>
            <w:r>
              <w:rPr>
                <w:rFonts w:ascii="Times New Roman" w:hAnsi="Times New Roman"/>
                <w:sz w:val="20"/>
              </w:rPr>
              <w:t>Kampagnenbegriff</w:t>
            </w:r>
          </w:p>
        </w:tc>
        <w:tc>
          <w:tcPr>
            <w:tcW w:type="dxa" w:w="2268"/>
          </w:tcPr>
          <w:p>
            <w:r>
              <w:rPr>
                <w:rFonts w:ascii="Times New Roman" w:hAnsi="Times New Roman"/>
                <w:sz w:val="20"/>
              </w:rPr>
              <w:t>kein Treffer oder themennahe Organisationen</w:t>
            </w:r>
          </w:p>
        </w:tc>
      </w:tr>
    </w:tbl>
    <w:p>
      <w:pPr>
        <w:pStyle w:val="Heading2"/>
      </w:pPr>
      <w:r>
        <w:rPr>
          <w:rFonts w:ascii="Times New Roman" w:hAnsi="Times New Roman"/>
        </w:rPr>
        <w:t>API-Testbefehl</w:t>
      </w:r>
    </w:p>
    <w:p>
      <w:pPr>
        <w:jc w:val="left"/>
      </w:pPr>
      <w:r>
        <w:t>```bash</w:t>
      </w:r>
    </w:p>
    <w:p>
      <w:pPr>
        <w:jc w:val="left"/>
      </w:pPr>
      <w:r>
        <w:t>test -n "${LOBBYREGISTER_API_KEY:?LOBBYREGISTER_API_KEY fehlt}"</w:t>
      </w:r>
    </w:p>
    <w:p>
      <w:pPr>
        <w:jc w:val="left"/>
      </w:pPr>
      <w:r>
        <w:t>curl -H "Authorization: ApiKey ${LOBBYREGISTER_API_KEY}" \</w:t>
      </w:r>
    </w:p>
    <w:p>
      <w:pPr>
        <w:jc w:val="left"/>
      </w:pPr>
      <w:r>
        <w:t>"https://api.lobbyregister.bundestag.de/rest/v2/registerentries?q=Waldmoor%202030&amp;format=json" \</w:t>
      </w:r>
    </w:p>
    <w:p>
      <w:pPr>
        <w:ind w:left="567"/>
      </w:pPr>
      <w:r>
        <w:rPr>
          <w:i/>
        </w:rPr>
        <w:t>2026-05-20_api_search_waldmoor_2030.json</w:t>
      </w:r>
    </w:p>
    <w:p>
      <w:pPr>
        <w:jc w:val="left"/>
      </w:pPr>
      <w:r>
        <w:t>```</w:t>
      </w:r>
    </w:p>
    <w:p>
      <w:pPr>
        <w:pStyle w:val="Heading2"/>
      </w:pPr>
      <w:r>
        <w:rPr>
          <w:rFonts w:ascii="Times New Roman" w:hAnsi="Times New Roman"/>
        </w:rPr>
        <w:t>Bewertung vor Registrierung</w:t>
      </w:r>
    </w:p>
    <w:p>
      <w:pPr>
        <w:jc w:val="left"/>
      </w:pPr>
      <w:r>
        <w:t>Kein Treffer ist hier nicht automatisch "kein Risiko". Die Akte zeigt, dass die bundespolitische Kampagne Mitte Mai qualitativ anders wird: Telefonat mit BMDV, vorbereitete Anhörung, Gutachten, Spenden und direkte MdB-Kommunikation. Die API beantwortet nur, was veröffentlicht ist. Die Pflicht- oder Freiwilligkeitsfrage bleibt eine LobbyRG-Pruefung.</w:t>
      </w:r>
    </w:p>
    <w:p>
      <w:pPr>
        <w:pStyle w:val="Heading2"/>
      </w:pPr>
      <w:r>
        <w:rPr>
          <w:rFonts w:ascii="Times New Roman" w:hAnsi="Times New Roman"/>
        </w:rPr>
        <w:t>Monitoring nach freiwilliger Registrierung</w:t>
      </w:r>
    </w:p>
    <w:p>
      <w:pPr>
        <w:jc w:val="left"/>
      </w:pPr>
      <w:r>
        <w:t>Nach freiwilliger Registrierung soll die API kontrollieren:</w:t>
      </w:r>
    </w:p>
    <w:p>
      <w:pPr>
        <w:pStyle w:val="ListBullet"/>
      </w:pPr>
      <w:r>
        <w:t>Rechtsform als Organisation ohne eigene Rechtspersönlichkeit</w:t>
      </w:r>
    </w:p>
    <w:p>
      <w:pPr>
        <w:pStyle w:val="ListBullet"/>
      </w:pPr>
      <w:r>
        <w:t>Sprecherinnen und vertretende Personen</w:t>
      </w:r>
    </w:p>
    <w:p>
      <w:pPr>
        <w:pStyle w:val="ListBullet"/>
      </w:pPr>
      <w:r>
        <w:t>Tätigkeitsbeschreibung "Moratorium und Alternativenpruefung"</w:t>
      </w:r>
    </w:p>
    <w:p>
      <w:pPr>
        <w:pStyle w:val="ListBullet"/>
      </w:pPr>
      <w:r>
        <w:t>Finanzierungsquellen ohne angenommene Windpark-Spende</w:t>
      </w:r>
    </w:p>
    <w:p>
      <w:pPr>
        <w:pStyle w:val="ListBullet"/>
      </w:pPr>
      <w:r>
        <w:t>keine irreführende Aussage, dass alle lokalen Petitionstaetigkeiten registerpflichtig waren</w:t>
      </w:r>
    </w:p>
    <w:p>
      <w:pPr>
        <w:pStyle w:val="ListBullet"/>
      </w:pPr>
      <w:r>
        <w:t>statements</w:t>
      </w:r>
      <w:r>
        <w:t xml:space="preserve"> für das Gutachten nur, wenn Versand an Bundesadressaten und Uploadpflicht bejaht wurden</w:t>
      </w:r>
    </w:p>
    <w:p>
      <w:pPr>
        <w:pStyle w:val="Heading2"/>
      </w:pPr>
      <w:r>
        <w:rPr>
          <w:rFonts w:ascii="Times New Roman" w:hAnsi="Times New Roman"/>
        </w:rPr>
        <w:t>Schlechte Praxis, die die Akte testen soll</w:t>
      </w:r>
    </w:p>
    <w:p>
      <w:pPr>
        <w:jc w:val="left"/>
      </w:pPr>
      <w:r>
        <w:t>Luise schreibt im Chat: "Wenn wir freiwillig drinstehen, ist doch alles safe." Das ist falsch. Freiwillige Registrierung löst Pflege-, Richtigkeits- und Offenlegungsfragen aus. Das Plugin soll diese Aussage stoppen und ein echtes Fristen- und Freigabesystem verlangen.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