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Dublin Commercial Bank plc, Zweigniederlassung Frankfurt, BaFin-Kontaktteam, Public-Affairs-Beratung und Bundestagsverwaltung.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Die Bank ist irische juristische Person mit unselbständiger Zweigniederlassung; unklar ist, ob eine oder zwei Registerlogiken sauber sind.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Lobbyregistergesetz, Kreditinstitutsaufsicht, Zweigniederlassungsrecht, Transparenzpflichten, Bußgeldrisiken und Organisationspflichten.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