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Rechtsträgerstruktur</w:t>
      </w:r>
    </w:p>
    <w:p>
      <w:pPr>
        <w:jc w:val="left"/>
      </w:pPr>
      <w:r>
        <w:t>```</w:t>
      </w:r>
    </w:p>
    <w:p>
      <w:pPr>
        <w:jc w:val="left"/>
      </w:pPr>
      <w:r>
        <w:t>Emerald Liffey Bank plc (Dublin)</w:t>
      </w:r>
    </w:p>
    <w:p>
      <w:pPr>
        <w:jc w:val="left"/>
      </w:pPr>
      <w:r>
        <w:t>├── Board / Group Public Policy (Dublin)</w:t>
      </w:r>
    </w:p>
    <w:p>
      <w:pPr>
        <w:jc w:val="left"/>
      </w:pPr>
      <w:r>
        <w:t>├── German Branch Frankfurt (unselbststaendige Zweigniederlassung)</w:t>
      </w:r>
    </w:p>
    <w:p>
      <w:pPr>
        <w:jc w:val="left"/>
      </w:pPr>
      <w:r>
        <w:t>│   ├── Dr. Carla Heidenreich - Head of Germany Branch</w:t>
      </w:r>
    </w:p>
    <w:p>
      <w:pPr>
        <w:jc w:val="left"/>
      </w:pPr>
      <w:r>
        <w:t>│   ├── Jonas Krueger - Regulatory Affairs Germany</w:t>
      </w:r>
    </w:p>
    <w:p>
      <w:pPr>
        <w:jc w:val="left"/>
      </w:pPr>
      <w:r>
        <w:t>│   └── Sofia Marin - Government Relations Associate</w:t>
      </w:r>
    </w:p>
    <w:p>
      <w:pPr>
        <w:jc w:val="left"/>
      </w:pPr>
      <w:r>
        <w:t>└── Berlin consultant: Spreebogen Regulatory GmbH (externe Agentur, nur Terminorganisation)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Arbeitsannahme:</w:t>
      </w:r>
      <w:r>
        <w:t xml:space="preserve"> Eintragungseinheit ist die plc. Frankfurt ist als Niederlassung, Anschrift, Kontaktstelle, betraute Personen und Kostenstelle abzubilden.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