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Regelungsvorhaben</w:t>
      </w:r>
    </w:p>
    <w:p>
      <w:pPr>
        <w:pStyle w:val="Heading2"/>
      </w:pPr>
      <w:r>
        <w:rPr>
          <w:rFonts w:ascii="Times New Roman" w:hAnsi="Times New Roman"/>
        </w:rPr>
        <w:t>Vorhaben 1</w:t>
      </w:r>
    </w:p>
    <w:p>
      <w:pPr>
        <w:jc w:val="left"/>
      </w:pPr>
      <w:r>
        <w:rPr>
          <w:b/>
        </w:rPr>
        <w:t>Arbeitstitel:</w:t>
      </w:r>
      <w:r>
        <w:t xml:space="preserve"> Gesetz zur Begleitung der Einführung des digitalen Euro und zur Anpassung nationaler Zahlungsdienstevorschriften</w:t>
      </w:r>
    </w:p>
    <w:p>
      <w:pPr>
        <w:jc w:val="left"/>
      </w:pPr>
      <w:r>
        <w:rPr>
          <w:b/>
        </w:rPr>
        <w:t>Interesse der Bank:</w:t>
      </w:r>
    </w:p>
    <w:p>
      <w:pPr>
        <w:pStyle w:val="ListBullet"/>
      </w:pPr>
      <w:r>
        <w:t>Klarstellung zur Haftungsverteilung bei Instant-Payment-Fraud</w:t>
      </w:r>
    </w:p>
    <w:p>
      <w:pPr>
        <w:pStyle w:val="ListBullet"/>
      </w:pPr>
      <w:r>
        <w:t>angemessene Übergangsfristen für ausländische EU-Kreditinstitute mit deutschen Zweigniederlassungen</w:t>
      </w:r>
    </w:p>
    <w:p>
      <w:pPr>
        <w:pStyle w:val="ListBullet"/>
      </w:pPr>
      <w:r>
        <w:t>keine doppelte nationale Meldeinfrastruktur für bereits beaufsichtigte Institute</w:t>
      </w:r>
    </w:p>
    <w:p>
      <w:pPr>
        <w:pStyle w:val="Heading2"/>
      </w:pPr>
      <w:r>
        <w:rPr>
          <w:rFonts w:ascii="Times New Roman" w:hAnsi="Times New Roman"/>
        </w:rPr>
        <w:t>Vorhaben 2</w:t>
      </w:r>
    </w:p>
    <w:p>
      <w:pPr>
        <w:jc w:val="left"/>
      </w:pPr>
      <w:r>
        <w:rPr>
          <w:b/>
        </w:rPr>
        <w:t>Arbeitstitel:</w:t>
      </w:r>
      <w:r>
        <w:t xml:space="preserve"> Anpassung des Einlagensicherungs- und Anlegerentschädigungsgesetzes für grenzüberschreitende Bankzweigniederlassungen</w:t>
      </w:r>
    </w:p>
    <w:p>
      <w:pPr>
        <w:jc w:val="left"/>
      </w:pPr>
      <w:r>
        <w:rPr>
          <w:b/>
        </w:rPr>
        <w:t>Kontaktstart:</w:t>
      </w:r>
      <w:r>
        <w:t xml:space="preserve"> 21.05.2026</w:t>
      </w:r>
    </w:p>
    <w:p>
      <w:pPr>
        <w:jc w:val="left"/>
      </w:pPr>
      <w:r>
        <w:rPr>
          <w:b/>
        </w:rPr>
        <w:t>Dokumentenstand:</w:t>
      </w:r>
      <w:r>
        <w:t xml:space="preserve"> Policy Note intern, noch nicht versandt</w:t>
      </w:r>
    </w:p>
    <w:p>
      <w:pPr>
        <w:jc w:val="left"/>
      </w:pPr>
      <w:r>
        <w:rPr>
          <w:b/>
        </w:rPr>
        <w:t>Registerrisiko:</w:t>
      </w:r>
      <w:r>
        <w:t xml:space="preserve"> Vorhaben muss vor bzw. spätestens mit Kontaktaufnahme im Eintrag sichtbar sein, sofern Registrierungspflicht besteht.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