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Dublin Bank: Lobbyregister und Frankfurter Zweigniederlassung“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Die Bank ist irische juristische Person mit unselbständiger Zweigniederlassung; unklar ist, ob eine oder zwei Registerlogiken sauber sind.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Lobbyregistergesetz, Kreditinstitutsaufsicht, Zweigniederlassungsrecht, Transparenzpflichten, Bußgeldrisiken und Organisationspflichten.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