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Dublin Bank: Lobbyregister und Frankfurter Zweigniederlassung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Lobbyregistergesetz, Kreditinstitutsaufsicht, Zweigniederlassungsrecht, Transparenzpflichten, Bußgeldrisiken und Organisationspflichten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