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Board Minutes - Extract</w:t>
      </w:r>
    </w:p>
    <w:p>
      <w:pPr>
        <w:jc w:val="left"/>
      </w:pPr>
      <w:r>
        <w:rPr>
          <w:b/>
        </w:rPr>
        <w:t>Emerald Liffey Bank plc</w:t>
      </w:r>
    </w:p>
    <w:p>
      <w:pPr>
        <w:jc w:val="left"/>
      </w:pPr>
      <w:r>
        <w:rPr>
          <w:b/>
        </w:rPr>
        <w:t>Datum:</w:t>
      </w:r>
      <w:r>
        <w:t xml:space="preserve"> 17.05.2026</w:t>
      </w:r>
    </w:p>
    <w:p>
      <w:pPr>
        <w:jc w:val="left"/>
      </w:pPr>
      <w:r>
        <w:t>Das Board nimmt den deutschen Lobbyregister-Check zur Kenntnis. Aisling Byrne wird beauftragt, den Primaerentwurf für den Registereintrag der plc vorzubereiten. Dr. Carla Heidenreich darf für die Frankfurter Zweigniederlassung Daten liefern, aber keinen separaten Registereintrag freigeben, solange die registerfuehrende Stelle die Doppelregistrierung nicht bestätigt.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