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Finalcheck Arbeitsblatt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Rechtsträger bestimmt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plc klar, Branch nicht eigenständig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Registrierungspflicht dem Grunde nach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Kontakte Bundestag/BMF geplant, keine klare Ausnahme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Doppelregistrierung 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RfS-Anfrage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Frankfurter Personen erfasst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vier Personen gelistet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Finanzdaten zugeordnet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Rechtsberatungskosten abgrenzen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Regelungsvorhaben formuliert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 Vorhaben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Portal-Freigabe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 nach RfS-Antwort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