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Meeting Notes - Vorbereitung BMF-Termin</w:t>
      </w:r>
    </w:p>
    <w:p>
      <w:pPr>
        <w:jc w:val="left"/>
      </w:pPr>
      <w:r>
        <w:rPr>
          <w:b/>
        </w:rPr>
        <w:t>Termin geplant:</w:t>
      </w:r>
      <w:r>
        <w:t xml:space="preserve"> 29.05.2026, 14:00 Uhr, Webex</w:t>
      </w:r>
    </w:p>
    <w:p>
      <w:pPr>
        <w:jc w:val="left"/>
      </w:pPr>
      <w:r>
        <w:rPr>
          <w:b/>
        </w:rPr>
        <w:t>BMF:</w:t>
      </w:r>
      <w:r>
        <w:t xml:space="preserve"> Referat VII B 3, Zahlungen und Digitaler Euro</w:t>
      </w:r>
    </w:p>
    <w:p>
      <w:pPr>
        <w:jc w:val="left"/>
      </w:pPr>
      <w:r>
        <w:rPr>
          <w:b/>
        </w:rPr>
        <w:t>Bank:</w:t>
      </w:r>
      <w:r>
        <w:t xml:space="preserve"> Aisling Byrne, Jonas Krüger, Sofia Marin</w:t>
      </w:r>
    </w:p>
    <w:p>
      <w:pPr>
        <w:pStyle w:val="Heading2"/>
      </w:pPr>
      <w:r>
        <w:rPr>
          <w:rFonts w:ascii="Times New Roman" w:hAnsi="Times New Roman"/>
        </w:rPr>
        <w:t>Inhaltliche Agenda</w:t>
      </w:r>
    </w:p>
    <w:p>
      <w:pPr>
        <w:pStyle w:val="ListNumber"/>
      </w:pPr>
      <w:r>
        <w:t>Übergangsfristen für Digital-Euro-Wallet-Infrastruktur</w:t>
      </w:r>
    </w:p>
    <w:p>
      <w:pPr>
        <w:pStyle w:val="ListNumber"/>
      </w:pPr>
      <w:r>
        <w:t>Fraud-Liability bei Instant Payments</w:t>
      </w:r>
    </w:p>
    <w:p>
      <w:pPr>
        <w:pStyle w:val="ListNumber"/>
      </w:pPr>
      <w:r>
        <w:t>Schnittstelle irische Einlagensicherung und deutsche Zweigniederlassung</w:t>
      </w:r>
    </w:p>
    <w:p>
      <w:pPr>
        <w:pStyle w:val="Heading2"/>
      </w:pPr>
      <w:r>
        <w:rPr>
          <w:rFonts w:ascii="Times New Roman" w:hAnsi="Times New Roman"/>
        </w:rPr>
        <w:t>Lobbyregister-Problem</w:t>
      </w:r>
    </w:p>
    <w:p>
      <w:pPr>
        <w:jc w:val="left"/>
      </w:pPr>
      <w:r>
        <w:t>Sofia hat im Terminvorbereitungsdokument nur "Emerald Liffey Bank Frankfurt" geschrieben. Aisling will mit "Emerald Liffey Bank plc" auftreten. Für den Erstkontakt muss ein einheitlicher Offenlegungssatz her.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